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D25FB" w14:textId="77777777" w:rsidR="00F602ED" w:rsidRDefault="00F602ED" w:rsidP="00432016">
      <w:pPr>
        <w:pStyle w:val="Overskrift1"/>
        <w:rPr>
          <w:i/>
        </w:rPr>
      </w:pPr>
      <w:bookmarkStart w:id="0" w:name="_Toc465372189"/>
    </w:p>
    <w:p w14:paraId="5BD6C195" w14:textId="77777777" w:rsidR="00F602ED" w:rsidRDefault="00F602ED" w:rsidP="00432016">
      <w:pPr>
        <w:pStyle w:val="Overskrift1"/>
        <w:rPr>
          <w:i/>
        </w:rPr>
      </w:pPr>
    </w:p>
    <w:p w14:paraId="58CD6232" w14:textId="77777777" w:rsidR="00F602ED" w:rsidRDefault="00F602ED" w:rsidP="00432016">
      <w:pPr>
        <w:pStyle w:val="Overskrift1"/>
        <w:rPr>
          <w:i/>
        </w:rPr>
      </w:pPr>
    </w:p>
    <w:p w14:paraId="5A3CF5AC" w14:textId="5A9FA099" w:rsidR="00B168C5" w:rsidRDefault="00BF6D9F" w:rsidP="0051039E">
      <w:pPr>
        <w:pStyle w:val="Overskrift1"/>
        <w:tabs>
          <w:tab w:val="left" w:pos="2694"/>
        </w:tabs>
      </w:pPr>
      <w:bookmarkStart w:id="1" w:name="_Toc465376060"/>
      <w:bookmarkStart w:id="2" w:name="_Toc466285885"/>
      <w:bookmarkStart w:id="3" w:name="_Toc466384798"/>
      <w:bookmarkStart w:id="4" w:name="_Toc466384835"/>
      <w:bookmarkStart w:id="5" w:name="_Toc477728077"/>
      <w:bookmarkStart w:id="6" w:name="_Toc477728157"/>
      <w:bookmarkStart w:id="7" w:name="_Toc479050149"/>
      <w:bookmarkStart w:id="8" w:name="_Toc509580416"/>
      <w:bookmarkStart w:id="9" w:name="_Toc26262598"/>
      <w:bookmarkEnd w:id="0"/>
      <w:r>
        <w:t>Handlingsplan for</w:t>
      </w:r>
      <w:r w:rsidR="00495B18">
        <w:t xml:space="preserve">: </w:t>
      </w:r>
      <w:bookmarkEnd w:id="1"/>
      <w:bookmarkEnd w:id="2"/>
      <w:bookmarkEnd w:id="3"/>
      <w:bookmarkEnd w:id="4"/>
      <w:bookmarkEnd w:id="5"/>
      <w:bookmarkEnd w:id="6"/>
      <w:bookmarkEnd w:id="7"/>
      <w:bookmarkEnd w:id="8"/>
      <w:r w:rsidR="00B52FA4">
        <w:t>Orkestrerings</w:t>
      </w:r>
      <w:r w:rsidR="008F6496">
        <w:t>komponenterne for borger.dk og V</w:t>
      </w:r>
      <w:r w:rsidR="00B52FA4">
        <w:t>ir</w:t>
      </w:r>
      <w:r w:rsidR="00922CDE">
        <w:t>k</w:t>
      </w:r>
      <w:bookmarkEnd w:id="9"/>
    </w:p>
    <w:p w14:paraId="6FA9BBB2" w14:textId="77777777" w:rsidR="00C9256F" w:rsidRDefault="00C9256F"/>
    <w:p w14:paraId="5D92914D" w14:textId="77777777" w:rsidR="00C9256F" w:rsidRDefault="00C9256F"/>
    <w:p w14:paraId="12F0D609" w14:textId="77777777" w:rsidR="008F6496" w:rsidRDefault="00892219">
      <w:pPr>
        <w:pStyle w:val="Indholdsfortegnelse1"/>
        <w:rPr>
          <w:noProof/>
        </w:rPr>
      </w:pPr>
      <w:r w:rsidRPr="0061310B">
        <w:t>Indholdsfortegnelse</w:t>
      </w:r>
      <w:r w:rsidR="00C9256F">
        <w:fldChar w:fldCharType="begin"/>
      </w:r>
      <w:r w:rsidR="00C9256F" w:rsidRPr="0061310B">
        <w:instrText xml:space="preserve"> TOC \o "1-4" \h \z \u </w:instrText>
      </w:r>
      <w:r w:rsidR="00C9256F">
        <w:fldChar w:fldCharType="separate"/>
      </w:r>
    </w:p>
    <w:p w14:paraId="3C4FCFD7" w14:textId="78C577CD" w:rsidR="008F6496" w:rsidRDefault="002244BD">
      <w:pPr>
        <w:pStyle w:val="Indholdsfortegnelse1"/>
        <w:rPr>
          <w:rFonts w:asciiTheme="minorHAnsi" w:eastAsiaTheme="minorEastAsia" w:hAnsiTheme="minorHAnsi"/>
          <w:b w:val="0"/>
          <w:noProof/>
          <w:lang w:eastAsia="da-DK"/>
        </w:rPr>
      </w:pPr>
      <w:hyperlink w:anchor="_Toc26262598" w:history="1">
        <w:r w:rsidR="008F6496" w:rsidRPr="003977C8">
          <w:rPr>
            <w:rStyle w:val="Hyperlink"/>
            <w:noProof/>
          </w:rPr>
          <w:t>Handlingsplan for: Orkestreringskomponenterne for borger.dk og Virk</w:t>
        </w:r>
        <w:r w:rsidR="008F6496">
          <w:rPr>
            <w:noProof/>
            <w:webHidden/>
          </w:rPr>
          <w:tab/>
        </w:r>
        <w:r w:rsidR="008F6496">
          <w:rPr>
            <w:noProof/>
            <w:webHidden/>
          </w:rPr>
          <w:fldChar w:fldCharType="begin"/>
        </w:r>
        <w:r w:rsidR="008F6496">
          <w:rPr>
            <w:noProof/>
            <w:webHidden/>
          </w:rPr>
          <w:instrText xml:space="preserve"> PAGEREF _Toc26262598 \h </w:instrText>
        </w:r>
        <w:r w:rsidR="008F6496">
          <w:rPr>
            <w:noProof/>
            <w:webHidden/>
          </w:rPr>
        </w:r>
        <w:r w:rsidR="008F6496">
          <w:rPr>
            <w:noProof/>
            <w:webHidden/>
          </w:rPr>
          <w:fldChar w:fldCharType="separate"/>
        </w:r>
        <w:r w:rsidR="008F6496">
          <w:rPr>
            <w:noProof/>
            <w:webHidden/>
          </w:rPr>
          <w:t>1</w:t>
        </w:r>
        <w:r w:rsidR="008F6496">
          <w:rPr>
            <w:noProof/>
            <w:webHidden/>
          </w:rPr>
          <w:fldChar w:fldCharType="end"/>
        </w:r>
      </w:hyperlink>
    </w:p>
    <w:p w14:paraId="5CE54A43" w14:textId="0D47249A" w:rsidR="008F6496" w:rsidRDefault="002244BD">
      <w:pPr>
        <w:pStyle w:val="Indholdsfortegnelse1"/>
        <w:rPr>
          <w:rFonts w:asciiTheme="minorHAnsi" w:eastAsiaTheme="minorEastAsia" w:hAnsiTheme="minorHAnsi"/>
          <w:b w:val="0"/>
          <w:noProof/>
          <w:lang w:eastAsia="da-DK"/>
        </w:rPr>
      </w:pPr>
      <w:hyperlink w:anchor="_Toc26262599" w:history="1">
        <w:r w:rsidR="008F6496" w:rsidRPr="003977C8">
          <w:rPr>
            <w:rStyle w:val="Hyperlink"/>
            <w:noProof/>
          </w:rPr>
          <w:t>Bemærkninger til indstilling fra review-rapport</w:t>
        </w:r>
        <w:r w:rsidR="008F6496">
          <w:rPr>
            <w:noProof/>
            <w:webHidden/>
          </w:rPr>
          <w:tab/>
        </w:r>
        <w:r w:rsidR="008F6496">
          <w:rPr>
            <w:noProof/>
            <w:webHidden/>
          </w:rPr>
          <w:fldChar w:fldCharType="begin"/>
        </w:r>
        <w:r w:rsidR="008F6496">
          <w:rPr>
            <w:noProof/>
            <w:webHidden/>
          </w:rPr>
          <w:instrText xml:space="preserve"> PAGEREF _Toc26262599 \h </w:instrText>
        </w:r>
        <w:r w:rsidR="008F6496">
          <w:rPr>
            <w:noProof/>
            <w:webHidden/>
          </w:rPr>
        </w:r>
        <w:r w:rsidR="008F6496">
          <w:rPr>
            <w:noProof/>
            <w:webHidden/>
          </w:rPr>
          <w:fldChar w:fldCharType="separate"/>
        </w:r>
        <w:r w:rsidR="008F6496">
          <w:rPr>
            <w:noProof/>
            <w:webHidden/>
          </w:rPr>
          <w:t>2</w:t>
        </w:r>
        <w:r w:rsidR="008F6496">
          <w:rPr>
            <w:noProof/>
            <w:webHidden/>
          </w:rPr>
          <w:fldChar w:fldCharType="end"/>
        </w:r>
      </w:hyperlink>
    </w:p>
    <w:p w14:paraId="635EE067" w14:textId="575FC99B" w:rsidR="008F6496" w:rsidRDefault="002244BD">
      <w:pPr>
        <w:pStyle w:val="Indholdsfortegnelse1"/>
        <w:rPr>
          <w:rFonts w:asciiTheme="minorHAnsi" w:eastAsiaTheme="minorEastAsia" w:hAnsiTheme="minorHAnsi"/>
          <w:b w:val="0"/>
          <w:noProof/>
          <w:lang w:eastAsia="da-DK"/>
        </w:rPr>
      </w:pPr>
      <w:hyperlink w:anchor="_Toc26262600" w:history="1">
        <w:r w:rsidR="008F6496" w:rsidRPr="003977C8">
          <w:rPr>
            <w:rStyle w:val="Hyperlink"/>
            <w:noProof/>
          </w:rPr>
          <w:t>Handlingsplan for anbefalinger til projektet</w:t>
        </w:r>
        <w:r w:rsidR="008F6496">
          <w:rPr>
            <w:noProof/>
            <w:webHidden/>
          </w:rPr>
          <w:tab/>
        </w:r>
        <w:r w:rsidR="008F6496">
          <w:rPr>
            <w:noProof/>
            <w:webHidden/>
          </w:rPr>
          <w:fldChar w:fldCharType="begin"/>
        </w:r>
        <w:r w:rsidR="008F6496">
          <w:rPr>
            <w:noProof/>
            <w:webHidden/>
          </w:rPr>
          <w:instrText xml:space="preserve"> PAGEREF _Toc26262600 \h </w:instrText>
        </w:r>
        <w:r w:rsidR="008F6496">
          <w:rPr>
            <w:noProof/>
            <w:webHidden/>
          </w:rPr>
        </w:r>
        <w:r w:rsidR="008F6496">
          <w:rPr>
            <w:noProof/>
            <w:webHidden/>
          </w:rPr>
          <w:fldChar w:fldCharType="separate"/>
        </w:r>
        <w:r w:rsidR="008F6496">
          <w:rPr>
            <w:noProof/>
            <w:webHidden/>
          </w:rPr>
          <w:t>2</w:t>
        </w:r>
        <w:r w:rsidR="008F6496">
          <w:rPr>
            <w:noProof/>
            <w:webHidden/>
          </w:rPr>
          <w:fldChar w:fldCharType="end"/>
        </w:r>
      </w:hyperlink>
    </w:p>
    <w:p w14:paraId="49D3B71E" w14:textId="25DB3E21" w:rsidR="008F6496" w:rsidRDefault="002244BD">
      <w:pPr>
        <w:pStyle w:val="Indholdsfortegnelse2"/>
        <w:tabs>
          <w:tab w:val="right" w:leader="dot" w:pos="7927"/>
        </w:tabs>
        <w:rPr>
          <w:rFonts w:eastAsiaTheme="minorEastAsia"/>
          <w:noProof/>
          <w:lang w:eastAsia="da-DK"/>
        </w:rPr>
      </w:pPr>
      <w:hyperlink w:anchor="_Toc26262601" w:history="1">
        <w:r w:rsidR="008F6496" w:rsidRPr="003977C8">
          <w:rPr>
            <w:rStyle w:val="Hyperlink"/>
            <w:noProof/>
          </w:rPr>
          <w:t>Anbefalinger</w:t>
        </w:r>
        <w:r w:rsidR="008F6496">
          <w:rPr>
            <w:noProof/>
            <w:webHidden/>
          </w:rPr>
          <w:tab/>
        </w:r>
        <w:r w:rsidR="008F6496">
          <w:rPr>
            <w:noProof/>
            <w:webHidden/>
          </w:rPr>
          <w:fldChar w:fldCharType="begin"/>
        </w:r>
        <w:r w:rsidR="008F6496">
          <w:rPr>
            <w:noProof/>
            <w:webHidden/>
          </w:rPr>
          <w:instrText xml:space="preserve"> PAGEREF _Toc26262601 \h </w:instrText>
        </w:r>
        <w:r w:rsidR="008F6496">
          <w:rPr>
            <w:noProof/>
            <w:webHidden/>
          </w:rPr>
        </w:r>
        <w:r w:rsidR="008F6496">
          <w:rPr>
            <w:noProof/>
            <w:webHidden/>
          </w:rPr>
          <w:fldChar w:fldCharType="separate"/>
        </w:r>
        <w:r w:rsidR="008F6496">
          <w:rPr>
            <w:noProof/>
            <w:webHidden/>
          </w:rPr>
          <w:t>2</w:t>
        </w:r>
        <w:r w:rsidR="008F6496">
          <w:rPr>
            <w:noProof/>
            <w:webHidden/>
          </w:rPr>
          <w:fldChar w:fldCharType="end"/>
        </w:r>
      </w:hyperlink>
    </w:p>
    <w:p w14:paraId="5A24E2B9" w14:textId="3643DCB5" w:rsidR="008F6496" w:rsidRDefault="002244BD">
      <w:pPr>
        <w:pStyle w:val="Indholdsfortegnelse2"/>
        <w:tabs>
          <w:tab w:val="right" w:leader="dot" w:pos="7927"/>
        </w:tabs>
        <w:rPr>
          <w:rFonts w:eastAsiaTheme="minorEastAsia"/>
          <w:noProof/>
          <w:lang w:eastAsia="da-DK"/>
        </w:rPr>
      </w:pPr>
      <w:hyperlink w:anchor="_Toc26262602" w:history="1">
        <w:r w:rsidR="008F6496" w:rsidRPr="003977C8">
          <w:rPr>
            <w:rStyle w:val="Hyperlink"/>
            <w:noProof/>
          </w:rPr>
          <w:t>Opsummering på handlingsplan</w:t>
        </w:r>
        <w:r w:rsidR="008F6496">
          <w:rPr>
            <w:noProof/>
            <w:webHidden/>
          </w:rPr>
          <w:tab/>
        </w:r>
        <w:r w:rsidR="008F6496">
          <w:rPr>
            <w:noProof/>
            <w:webHidden/>
          </w:rPr>
          <w:fldChar w:fldCharType="begin"/>
        </w:r>
        <w:r w:rsidR="008F6496">
          <w:rPr>
            <w:noProof/>
            <w:webHidden/>
          </w:rPr>
          <w:instrText xml:space="preserve"> PAGEREF _Toc26262602 \h </w:instrText>
        </w:r>
        <w:r w:rsidR="008F6496">
          <w:rPr>
            <w:noProof/>
            <w:webHidden/>
          </w:rPr>
        </w:r>
        <w:r w:rsidR="008F6496">
          <w:rPr>
            <w:noProof/>
            <w:webHidden/>
          </w:rPr>
          <w:fldChar w:fldCharType="separate"/>
        </w:r>
        <w:r w:rsidR="008F6496">
          <w:rPr>
            <w:noProof/>
            <w:webHidden/>
          </w:rPr>
          <w:t>4</w:t>
        </w:r>
        <w:r w:rsidR="008F6496">
          <w:rPr>
            <w:noProof/>
            <w:webHidden/>
          </w:rPr>
          <w:fldChar w:fldCharType="end"/>
        </w:r>
      </w:hyperlink>
    </w:p>
    <w:p w14:paraId="541AB177" w14:textId="63B96130" w:rsidR="008F6496" w:rsidRDefault="002244BD">
      <w:pPr>
        <w:pStyle w:val="Indholdsfortegnelse1"/>
        <w:rPr>
          <w:rFonts w:asciiTheme="minorHAnsi" w:eastAsiaTheme="minorEastAsia" w:hAnsiTheme="minorHAnsi"/>
          <w:b w:val="0"/>
          <w:noProof/>
          <w:lang w:eastAsia="da-DK"/>
        </w:rPr>
      </w:pPr>
      <w:hyperlink w:anchor="_Toc26262603" w:history="1">
        <w:r w:rsidR="008F6496" w:rsidRPr="003977C8">
          <w:rPr>
            <w:rStyle w:val="Hyperlink"/>
            <w:noProof/>
          </w:rPr>
          <w:t>Øvrige bemærkninger til arkitektur-reviewet</w:t>
        </w:r>
        <w:r w:rsidR="008F6496">
          <w:rPr>
            <w:noProof/>
            <w:webHidden/>
          </w:rPr>
          <w:tab/>
        </w:r>
        <w:r w:rsidR="008F6496">
          <w:rPr>
            <w:noProof/>
            <w:webHidden/>
          </w:rPr>
          <w:fldChar w:fldCharType="begin"/>
        </w:r>
        <w:r w:rsidR="008F6496">
          <w:rPr>
            <w:noProof/>
            <w:webHidden/>
          </w:rPr>
          <w:instrText xml:space="preserve"> PAGEREF _Toc26262603 \h </w:instrText>
        </w:r>
        <w:r w:rsidR="008F6496">
          <w:rPr>
            <w:noProof/>
            <w:webHidden/>
          </w:rPr>
        </w:r>
        <w:r w:rsidR="008F6496">
          <w:rPr>
            <w:noProof/>
            <w:webHidden/>
          </w:rPr>
          <w:fldChar w:fldCharType="separate"/>
        </w:r>
        <w:r w:rsidR="008F6496">
          <w:rPr>
            <w:noProof/>
            <w:webHidden/>
          </w:rPr>
          <w:t>4</w:t>
        </w:r>
        <w:r w:rsidR="008F6496">
          <w:rPr>
            <w:noProof/>
            <w:webHidden/>
          </w:rPr>
          <w:fldChar w:fldCharType="end"/>
        </w:r>
      </w:hyperlink>
    </w:p>
    <w:p w14:paraId="3E85BAC3" w14:textId="77777777" w:rsidR="00C9256F" w:rsidRDefault="00C9256F">
      <w:r>
        <w:fldChar w:fldCharType="end"/>
      </w:r>
    </w:p>
    <w:p w14:paraId="2B5AAF8C" w14:textId="77777777" w:rsidR="00B43080" w:rsidRDefault="00B43080">
      <w:pPr>
        <w:rPr>
          <w:rFonts w:asciiTheme="majorHAnsi" w:eastAsiaTheme="majorEastAsia" w:hAnsiTheme="majorHAnsi" w:cstheme="majorBidi"/>
          <w:b/>
          <w:bCs/>
          <w:color w:val="4F81BD" w:themeColor="accent1"/>
          <w:sz w:val="26"/>
          <w:szCs w:val="26"/>
        </w:rPr>
      </w:pPr>
      <w:bookmarkStart w:id="10" w:name="_Toc465372194"/>
      <w:bookmarkStart w:id="11" w:name="_Toc465372191"/>
      <w:r>
        <w:br w:type="page"/>
      </w:r>
    </w:p>
    <w:p w14:paraId="510D4621" w14:textId="77777777" w:rsidR="00060905" w:rsidRDefault="00BF6D9F" w:rsidP="00756BE3">
      <w:pPr>
        <w:pStyle w:val="Overskrift1"/>
      </w:pPr>
      <w:bookmarkStart w:id="12" w:name="_Toc26262599"/>
      <w:r>
        <w:lastRenderedPageBreak/>
        <w:t xml:space="preserve">Bemærkninger til indstilling fra </w:t>
      </w:r>
      <w:proofErr w:type="spellStart"/>
      <w:r>
        <w:t>review</w:t>
      </w:r>
      <w:proofErr w:type="spellEnd"/>
      <w:r>
        <w:t>-rapport</w:t>
      </w:r>
      <w:bookmarkEnd w:id="12"/>
    </w:p>
    <w:p w14:paraId="054849A4" w14:textId="702DCBC4" w:rsidR="00B8401E" w:rsidRPr="00B8401E" w:rsidRDefault="00B8401E" w:rsidP="00B8401E">
      <w:r w:rsidRPr="00B8401E">
        <w:t xml:space="preserve">Projekterne </w:t>
      </w:r>
      <w:r>
        <w:t>for</w:t>
      </w:r>
      <w:r w:rsidRPr="00B8401E">
        <w:t xml:space="preserve"> </w:t>
      </w:r>
      <w:r w:rsidR="00A13735">
        <w:t>henholdsvis</w:t>
      </w:r>
      <w:r w:rsidR="00A13735" w:rsidRPr="00B8401E">
        <w:t xml:space="preserve"> </w:t>
      </w:r>
      <w:r>
        <w:t xml:space="preserve">den </w:t>
      </w:r>
      <w:r w:rsidRPr="00B8401E">
        <w:t xml:space="preserve">borger- og virksomhedsrettede orkestreringskomponent takker for et godt </w:t>
      </w:r>
      <w:proofErr w:type="spellStart"/>
      <w:r w:rsidRPr="00B8401E">
        <w:t>review</w:t>
      </w:r>
      <w:proofErr w:type="spellEnd"/>
      <w:r w:rsidRPr="00B8401E">
        <w:t xml:space="preserve">. Projekterne vurderer, at det gennemførte </w:t>
      </w:r>
      <w:proofErr w:type="spellStart"/>
      <w:r w:rsidRPr="00B8401E">
        <w:t>review</w:t>
      </w:r>
      <w:proofErr w:type="spellEnd"/>
      <w:r w:rsidRPr="00B8401E">
        <w:t xml:space="preserve"> har været værdifuldt. Ud</w:t>
      </w:r>
      <w:r w:rsidR="00936C72">
        <w:t xml:space="preserve"> </w:t>
      </w:r>
      <w:r w:rsidRPr="00B8401E">
        <w:t xml:space="preserve">over de tilsendte anbefalinger fik projekterne gode konkrete råd samt overordnede betragtninger, som er taget til efterretning.  </w:t>
      </w:r>
    </w:p>
    <w:p w14:paraId="413DD066" w14:textId="79733A72" w:rsidR="00BF6D9F" w:rsidRPr="00B8401E" w:rsidRDefault="00B8401E" w:rsidP="00B8401E">
      <w:pPr>
        <w:rPr>
          <w:color w:val="548DD4" w:themeColor="text2" w:themeTint="99"/>
        </w:rPr>
      </w:pPr>
      <w:r w:rsidRPr="00B8401E">
        <w:t>Projekterne</w:t>
      </w:r>
      <w:r>
        <w:t xml:space="preserve"> er enige i </w:t>
      </w:r>
      <w:proofErr w:type="spellStart"/>
      <w:r w:rsidR="00A13735">
        <w:t>review-</w:t>
      </w:r>
      <w:r>
        <w:t>boardets</w:t>
      </w:r>
      <w:proofErr w:type="spellEnd"/>
      <w:r w:rsidRPr="00B8401E">
        <w:t xml:space="preserve"> anbefalinger</w:t>
      </w:r>
      <w:r>
        <w:t xml:space="preserve">. </w:t>
      </w:r>
      <w:r w:rsidRPr="00B8401E">
        <w:t xml:space="preserve"> </w:t>
      </w:r>
      <w:r w:rsidRPr="00B8401E">
        <w:rPr>
          <w:color w:val="548DD4" w:themeColor="text2" w:themeTint="99"/>
        </w:rPr>
        <w:t xml:space="preserve">  </w:t>
      </w:r>
    </w:p>
    <w:p w14:paraId="7B70BF41" w14:textId="77777777" w:rsidR="00060905" w:rsidRDefault="00BF6D9F" w:rsidP="00756BE3">
      <w:pPr>
        <w:pStyle w:val="Overskrift1"/>
      </w:pPr>
      <w:bookmarkStart w:id="13" w:name="_Toc26262600"/>
      <w:r>
        <w:t>Handlingsplan for anbefalinger til projektet</w:t>
      </w:r>
      <w:bookmarkEnd w:id="13"/>
    </w:p>
    <w:p w14:paraId="2F661787" w14:textId="5791EBCA" w:rsidR="00016419" w:rsidRPr="00016419" w:rsidRDefault="00016419" w:rsidP="00016419">
      <w:proofErr w:type="gramStart"/>
      <w:r>
        <w:t>Nedenfor</w:t>
      </w:r>
      <w:proofErr w:type="gramEnd"/>
      <w:r>
        <w:t xml:space="preserve"> følger projektets handlingsplan baseret på de anbefal</w:t>
      </w:r>
      <w:r w:rsidR="00211C09">
        <w:t xml:space="preserve">inger, som følger af </w:t>
      </w:r>
      <w:proofErr w:type="spellStart"/>
      <w:r w:rsidR="00211C09">
        <w:t>arkitektur</w:t>
      </w:r>
      <w:r>
        <w:t>reviewet</w:t>
      </w:r>
      <w:proofErr w:type="spellEnd"/>
      <w:r>
        <w:t>, samme</w:t>
      </w:r>
      <w:r w:rsidR="00211C09">
        <w:t xml:space="preserve">nfattet i den fremsendte </w:t>
      </w:r>
      <w:proofErr w:type="spellStart"/>
      <w:r w:rsidR="00211C09">
        <w:t>review</w:t>
      </w:r>
      <w:r>
        <w:t>rapport</w:t>
      </w:r>
      <w:proofErr w:type="spellEnd"/>
      <w:r>
        <w:t xml:space="preserve">. Det understreges, at nærværende handlingsplan </w:t>
      </w:r>
      <w:r w:rsidR="00D664DE">
        <w:t>er</w:t>
      </w:r>
      <w:r>
        <w:t xml:space="preserve"> godkendt af projekt</w:t>
      </w:r>
      <w:r w:rsidR="00D664DE">
        <w:t>gruppen</w:t>
      </w:r>
      <w:r>
        <w:t xml:space="preserve">, men </w:t>
      </w:r>
      <w:r w:rsidR="00A13735">
        <w:t xml:space="preserve">den er </w:t>
      </w:r>
      <w:r>
        <w:t>endnu ikke behandlet i projektets styregruppe.</w:t>
      </w:r>
    </w:p>
    <w:p w14:paraId="7AA153B5" w14:textId="77777777" w:rsidR="001B6F98" w:rsidRDefault="001B6F98" w:rsidP="001B6F98">
      <w:pPr>
        <w:pStyle w:val="Overskrift2"/>
      </w:pPr>
      <w:bookmarkStart w:id="14" w:name="_Toc26262601"/>
      <w:r>
        <w:t>Anbefalinger</w:t>
      </w:r>
      <w:bookmarkEnd w:id="14"/>
    </w:p>
    <w:p w14:paraId="1A153367" w14:textId="77777777" w:rsidR="007A3306" w:rsidRPr="007A3306" w:rsidRDefault="007A3306" w:rsidP="007A3306"/>
    <w:p w14:paraId="43200807" w14:textId="7A2095E9" w:rsidR="004F29E3" w:rsidRPr="004F29E3" w:rsidRDefault="3F19DB6C" w:rsidP="004F29E3">
      <w:pPr>
        <w:pStyle w:val="Listeafsnit"/>
        <w:numPr>
          <w:ilvl w:val="0"/>
          <w:numId w:val="5"/>
        </w:numPr>
        <w:rPr>
          <w:rFonts w:eastAsiaTheme="majorEastAsia" w:cstheme="minorHAnsi"/>
          <w:b/>
          <w:bCs/>
        </w:rPr>
      </w:pPr>
      <w:r w:rsidRPr="007A3306">
        <w:rPr>
          <w:rFonts w:eastAsiaTheme="majorEastAsia" w:cstheme="minorHAnsi"/>
          <w:b/>
          <w:bCs/>
        </w:rPr>
        <w:t xml:space="preserve">Det anbefales, at projekterne orienterer sig i relevante </w:t>
      </w:r>
      <w:r w:rsidR="00A13735" w:rsidRPr="007A3306">
        <w:rPr>
          <w:rFonts w:eastAsiaTheme="majorEastAsia" w:cstheme="minorHAnsi"/>
          <w:b/>
          <w:bCs/>
        </w:rPr>
        <w:t>FDA</w:t>
      </w:r>
      <w:r w:rsidR="00A13735">
        <w:rPr>
          <w:rFonts w:eastAsiaTheme="majorEastAsia" w:cstheme="minorHAnsi"/>
          <w:b/>
          <w:bCs/>
        </w:rPr>
        <w:t>-</w:t>
      </w:r>
      <w:r w:rsidRPr="007A3306">
        <w:rPr>
          <w:rFonts w:eastAsiaTheme="majorEastAsia" w:cstheme="minorHAnsi"/>
          <w:b/>
          <w:bCs/>
        </w:rPr>
        <w:t>produkter, med henblik på at anvende fællesoffentlige begreber og modeller.</w:t>
      </w:r>
    </w:p>
    <w:p w14:paraId="51F2EE84" w14:textId="45DB1693" w:rsidR="007A3306" w:rsidRPr="007A3306" w:rsidRDefault="00B8401E" w:rsidP="007A3306">
      <w:pPr>
        <w:ind w:left="360"/>
      </w:pPr>
      <w:r w:rsidRPr="007A3306">
        <w:rPr>
          <w:rFonts w:cstheme="minorHAnsi"/>
        </w:rPr>
        <w:t xml:space="preserve">Projekterne er enige i anbefalingen. Projekterne </w:t>
      </w:r>
      <w:r w:rsidR="007A3306" w:rsidRPr="007A3306">
        <w:rPr>
          <w:rFonts w:cstheme="minorHAnsi"/>
        </w:rPr>
        <w:t xml:space="preserve">vil orientere sig i relevante </w:t>
      </w:r>
      <w:r w:rsidR="00A13735" w:rsidRPr="007A3306">
        <w:rPr>
          <w:rFonts w:cstheme="minorHAnsi"/>
        </w:rPr>
        <w:t>FDA</w:t>
      </w:r>
      <w:r w:rsidR="00A13735">
        <w:rPr>
          <w:rFonts w:cstheme="minorHAnsi"/>
        </w:rPr>
        <w:t>-</w:t>
      </w:r>
      <w:r w:rsidR="007A3306" w:rsidRPr="007A3306">
        <w:rPr>
          <w:rFonts w:cstheme="minorHAnsi"/>
        </w:rPr>
        <w:t xml:space="preserve">produkter og i videst muligt omfang anvende begreber </w:t>
      </w:r>
      <w:r w:rsidR="00BD21CE">
        <w:rPr>
          <w:rFonts w:cstheme="minorHAnsi"/>
        </w:rPr>
        <w:t xml:space="preserve">og modeller </w:t>
      </w:r>
      <w:r w:rsidR="007A3306" w:rsidRPr="007A3306">
        <w:rPr>
          <w:rFonts w:cstheme="minorHAnsi"/>
        </w:rPr>
        <w:t>herfra</w:t>
      </w:r>
      <w:r w:rsidR="007A3306" w:rsidRPr="007A3306">
        <w:t>.</w:t>
      </w:r>
    </w:p>
    <w:p w14:paraId="6FB5153E" w14:textId="77777777" w:rsidR="007A3306" w:rsidRDefault="007A3306" w:rsidP="007A3306">
      <w:pPr>
        <w:ind w:left="360"/>
        <w:rPr>
          <w:color w:val="548DD4" w:themeColor="text2" w:themeTint="99"/>
        </w:rPr>
      </w:pPr>
    </w:p>
    <w:p w14:paraId="10FCDCD1" w14:textId="72D07486" w:rsidR="007A3306" w:rsidRDefault="007A3306" w:rsidP="007A3306">
      <w:pPr>
        <w:pStyle w:val="Listeafsnit"/>
        <w:numPr>
          <w:ilvl w:val="0"/>
          <w:numId w:val="5"/>
        </w:numPr>
        <w:rPr>
          <w:b/>
        </w:rPr>
      </w:pPr>
      <w:r w:rsidRPr="007A3306">
        <w:rPr>
          <w:b/>
        </w:rPr>
        <w:t xml:space="preserve">Det anbefales, at projekterne beskriver en </w:t>
      </w:r>
      <w:proofErr w:type="spellStart"/>
      <w:r w:rsidRPr="007A3306">
        <w:rPr>
          <w:b/>
        </w:rPr>
        <w:t>governance</w:t>
      </w:r>
      <w:proofErr w:type="spellEnd"/>
      <w:r w:rsidR="00A13735">
        <w:rPr>
          <w:b/>
        </w:rPr>
        <w:t>,</w:t>
      </w:r>
      <w:r w:rsidRPr="007A3306">
        <w:rPr>
          <w:b/>
        </w:rPr>
        <w:t xml:space="preserve"> der kan håndtere dels flere aftagere af overbliksdata fra orkestreringskompon</w:t>
      </w:r>
      <w:r w:rsidR="008F6496">
        <w:rPr>
          <w:b/>
        </w:rPr>
        <w:t>enterne end borger.dk og V</w:t>
      </w:r>
      <w:r w:rsidR="00922CDE">
        <w:rPr>
          <w:b/>
        </w:rPr>
        <w:t>irk</w:t>
      </w:r>
      <w:r w:rsidR="00A13735">
        <w:rPr>
          <w:b/>
        </w:rPr>
        <w:t>,</w:t>
      </w:r>
      <w:r w:rsidRPr="007A3306">
        <w:rPr>
          <w:b/>
        </w:rPr>
        <w:t xml:space="preserve"> dels én eller flere kilder til samme datatype. Den beskrevne </w:t>
      </w:r>
      <w:proofErr w:type="spellStart"/>
      <w:r w:rsidRPr="007A3306">
        <w:rPr>
          <w:b/>
        </w:rPr>
        <w:t>governance</w:t>
      </w:r>
      <w:proofErr w:type="spellEnd"/>
      <w:r w:rsidRPr="007A3306">
        <w:rPr>
          <w:b/>
        </w:rPr>
        <w:t xml:space="preserve"> bør yderligere kunne håndtere fælles begrebs- og datamodeller. </w:t>
      </w:r>
    </w:p>
    <w:p w14:paraId="4FB009FA" w14:textId="0D152602" w:rsidR="00FE5A6E" w:rsidRDefault="007A3306" w:rsidP="009B6686">
      <w:pPr>
        <w:ind w:left="360"/>
      </w:pPr>
      <w:r>
        <w:t xml:space="preserve">Projekterne er enige i, at det er vigtigt, at få beskrevet </w:t>
      </w:r>
      <w:proofErr w:type="spellStart"/>
      <w:r>
        <w:t>governance</w:t>
      </w:r>
      <w:proofErr w:type="spellEnd"/>
      <w:r>
        <w:t xml:space="preserve"> for orkestreringskomponenter</w:t>
      </w:r>
      <w:r w:rsidR="00387126">
        <w:t xml:space="preserve"> i forskellige scenarier</w:t>
      </w:r>
      <w:r>
        <w:t>. Begge projekter befinder sig på nuværende tidspunkt i analysefase</w:t>
      </w:r>
      <w:r w:rsidR="00A13735">
        <w:t>n</w:t>
      </w:r>
      <w:r>
        <w:t xml:space="preserve">, men der er truffet beslutning om, at etablere den borgerrettede orkestreringskomponent i 2020. </w:t>
      </w:r>
      <w:r w:rsidR="000D6FCD">
        <w:t xml:space="preserve">Der er </w:t>
      </w:r>
      <w:r w:rsidR="00A13735">
        <w:t>end</w:t>
      </w:r>
      <w:r w:rsidR="000D6FCD">
        <w:t>videre en forventning om, at der ligeledes etableres en orkestreringskomponent på virksomhedsområdet i løbet af 2020. Den endelige beslutning heraf udestår dog og afventer blandt andet resultater fra den igangværende pilotafprøvning. Det er på baggrund heraf et sandsynligt scenarie, at der inden for et par år eksisterer to orkestreringskomponenter</w:t>
      </w:r>
      <w:r w:rsidR="00D664DE">
        <w:t>,</w:t>
      </w:r>
      <w:r w:rsidR="009B6686">
        <w:t xml:space="preserve"> der anvender hver deres begrebs- og datamodeller</w:t>
      </w:r>
      <w:r w:rsidR="000D6FCD">
        <w:t xml:space="preserve">. </w:t>
      </w:r>
      <w:r w:rsidR="000032DF">
        <w:t>Der er derimod ikke identificeret nogle potentielle aftager</w:t>
      </w:r>
      <w:r w:rsidR="00BD21CE">
        <w:t>e</w:t>
      </w:r>
      <w:r w:rsidR="000032DF">
        <w:t xml:space="preserve"> ud over portalerne bor</w:t>
      </w:r>
      <w:r w:rsidR="00BD21CE">
        <w:t>g</w:t>
      </w:r>
      <w:r w:rsidR="008F6496">
        <w:t>er.dk og V</w:t>
      </w:r>
      <w:r w:rsidR="00922CDE">
        <w:t>irk</w:t>
      </w:r>
      <w:r w:rsidR="000032DF">
        <w:t xml:space="preserve">. </w:t>
      </w:r>
      <w:r w:rsidR="009B6686">
        <w:t xml:space="preserve">Projekterne vil følge </w:t>
      </w:r>
      <w:proofErr w:type="spellStart"/>
      <w:r w:rsidR="009B6686">
        <w:t>boardets</w:t>
      </w:r>
      <w:proofErr w:type="spellEnd"/>
      <w:r w:rsidR="009B6686">
        <w:t xml:space="preserve"> anbefaling og</w:t>
      </w:r>
      <w:r w:rsidR="000032DF">
        <w:t xml:space="preserve"> </w:t>
      </w:r>
      <w:r w:rsidR="009B6686">
        <w:t xml:space="preserve">beskrive en </w:t>
      </w:r>
      <w:proofErr w:type="spellStart"/>
      <w:r w:rsidR="009B6686">
        <w:t>governance</w:t>
      </w:r>
      <w:proofErr w:type="spellEnd"/>
      <w:r w:rsidR="009B6686">
        <w:t xml:space="preserve"> for begrebs- og datamodeller på </w:t>
      </w:r>
      <w:r w:rsidR="007848AD">
        <w:t xml:space="preserve">både </w:t>
      </w:r>
      <w:r w:rsidR="009B6686">
        <w:t>borger</w:t>
      </w:r>
      <w:r w:rsidR="007848AD">
        <w:t>-</w:t>
      </w:r>
      <w:r w:rsidR="009B6686">
        <w:t xml:space="preserve"> og virk</w:t>
      </w:r>
      <w:r w:rsidR="00154E59">
        <w:t>s</w:t>
      </w:r>
      <w:r w:rsidR="009B6686">
        <w:t xml:space="preserve">omhedsområdet. Dette vil ske i tæt koordination, sådan at </w:t>
      </w:r>
      <w:proofErr w:type="spellStart"/>
      <w:r w:rsidR="009B6686">
        <w:t>governance</w:t>
      </w:r>
      <w:proofErr w:type="spellEnd"/>
      <w:r w:rsidR="009B6686">
        <w:t xml:space="preserve"> så vidt muligt er ens af hensyn til datakilder</w:t>
      </w:r>
      <w:r w:rsidR="007848AD">
        <w:t>,</w:t>
      </w:r>
      <w:r w:rsidR="009B6686">
        <w:t xml:space="preserve"> der anvender begge komponenter. Scenariet med </w:t>
      </w:r>
      <w:r w:rsidR="00BD21CE">
        <w:t xml:space="preserve">to </w:t>
      </w:r>
      <w:r w:rsidR="009B6686">
        <w:t xml:space="preserve">eller flere kilder til samme </w:t>
      </w:r>
      <w:r w:rsidR="009B6686">
        <w:lastRenderedPageBreak/>
        <w:t>datatype er netop den udfordring</w:t>
      </w:r>
      <w:r w:rsidR="007848AD">
        <w:t>,</w:t>
      </w:r>
      <w:r w:rsidR="009B6686">
        <w:t xml:space="preserve"> som orkestr</w:t>
      </w:r>
      <w:r w:rsidR="004B7C91">
        <w:t>eri</w:t>
      </w:r>
      <w:r w:rsidR="009B6686">
        <w:t>ngskomponenterne med deres fælles begrebs- og datamodeller løser ved</w:t>
      </w:r>
      <w:r w:rsidR="007848AD">
        <w:t>,</w:t>
      </w:r>
      <w:r w:rsidR="009B6686">
        <w:t xml:space="preserve"> at der stilles krav til datakilder, fx om dataformat. </w:t>
      </w:r>
      <w:r w:rsidR="00BD21CE">
        <w:t>Håndtering</w:t>
      </w:r>
      <w:r w:rsidR="009B6686">
        <w:t xml:space="preserve"> </w:t>
      </w:r>
      <w:r w:rsidR="00D664DE">
        <w:t xml:space="preserve">af </w:t>
      </w:r>
      <w:r w:rsidR="009B6686">
        <w:t xml:space="preserve">det scenarie vil derfor ligge i </w:t>
      </w:r>
      <w:proofErr w:type="spellStart"/>
      <w:r w:rsidR="009B6686">
        <w:t>governance</w:t>
      </w:r>
      <w:proofErr w:type="spellEnd"/>
      <w:r w:rsidR="009B6686">
        <w:t xml:space="preserve"> for begrebs- og datamodeller. </w:t>
      </w:r>
    </w:p>
    <w:p w14:paraId="2F7BA3AC" w14:textId="753E2706" w:rsidR="007A3306" w:rsidRPr="007A3306" w:rsidRDefault="00FE5A6E" w:rsidP="009B6686">
      <w:pPr>
        <w:ind w:left="360"/>
      </w:pPr>
      <w:r>
        <w:t>Projekte</w:t>
      </w:r>
      <w:r w:rsidR="007667E5">
        <w:t>rne</w:t>
      </w:r>
      <w:r>
        <w:t xml:space="preserve"> har taget anbefalingen om </w:t>
      </w:r>
      <w:r w:rsidR="00387126">
        <w:t xml:space="preserve">at etablere en </w:t>
      </w:r>
      <w:proofErr w:type="spellStart"/>
      <w:r w:rsidR="00387126">
        <w:t>governance</w:t>
      </w:r>
      <w:proofErr w:type="spellEnd"/>
      <w:r w:rsidR="00387126">
        <w:t xml:space="preserve"> for scenariet</w:t>
      </w:r>
      <w:r w:rsidR="007848AD">
        <w:t>,</w:t>
      </w:r>
      <w:r w:rsidR="00387126">
        <w:t xml:space="preserve"> hvor der er mere end </w:t>
      </w:r>
      <w:r w:rsidR="00BD21CE">
        <w:t xml:space="preserve">de </w:t>
      </w:r>
      <w:r w:rsidR="00387126">
        <w:t>to</w:t>
      </w:r>
      <w:r w:rsidR="00BD21CE">
        <w:t xml:space="preserve"> identificerede</w:t>
      </w:r>
      <w:r w:rsidR="00387126">
        <w:t xml:space="preserve"> aftagere til orkestreringskomponenter</w:t>
      </w:r>
      <w:r w:rsidR="007848AD">
        <w:t>,</w:t>
      </w:r>
      <w:r w:rsidR="00387126">
        <w:t xml:space="preserve"> til efterretning, men vurderer, at det er uden for </w:t>
      </w:r>
      <w:proofErr w:type="spellStart"/>
      <w:r w:rsidR="00387126">
        <w:t>scope</w:t>
      </w:r>
      <w:proofErr w:type="spellEnd"/>
      <w:r w:rsidR="00387126">
        <w:t xml:space="preserve"> af nærværende projekter.  Projekterne vil indstille, at projektet for referencearkitekturen for digitale overblik håndterer denne anbefaling. Dette indstilles i forbindelse med den aktuelle offentlige kommentering af referencearkitekturen. </w:t>
      </w:r>
    </w:p>
    <w:p w14:paraId="3542CDE2" w14:textId="77777777" w:rsidR="007A3306" w:rsidRPr="007A3306" w:rsidRDefault="007A3306" w:rsidP="007A3306"/>
    <w:p w14:paraId="5EE12D1E" w14:textId="77777777" w:rsidR="007A3306" w:rsidRDefault="007A3306" w:rsidP="007A3306">
      <w:pPr>
        <w:pStyle w:val="Listeafsnit"/>
        <w:numPr>
          <w:ilvl w:val="0"/>
          <w:numId w:val="5"/>
        </w:numPr>
        <w:rPr>
          <w:b/>
        </w:rPr>
      </w:pPr>
      <w:r w:rsidRPr="007A3306">
        <w:rPr>
          <w:b/>
        </w:rPr>
        <w:t>Det anbefales, at sikkerheden i løsningerne adresseres tidligt i projektet og beskrives tydeligt.</w:t>
      </w:r>
    </w:p>
    <w:p w14:paraId="7F8CC5D1" w14:textId="6046C84E" w:rsidR="004B7C91" w:rsidRPr="004B7C91" w:rsidRDefault="004B7C91" w:rsidP="004B7C91">
      <w:pPr>
        <w:ind w:left="360"/>
      </w:pPr>
      <w:r>
        <w:t xml:space="preserve">Projekterne er enige i </w:t>
      </w:r>
      <w:proofErr w:type="spellStart"/>
      <w:r>
        <w:t>boardets</w:t>
      </w:r>
      <w:proofErr w:type="spellEnd"/>
      <w:r>
        <w:t xml:space="preserve"> anbefaling. På borgerområdet pågår en risikoanalyse</w:t>
      </w:r>
      <w:r w:rsidR="007848AD">
        <w:t>,</w:t>
      </w:r>
      <w:r>
        <w:t xml:space="preserve"> som skal føde ind i de krav</w:t>
      </w:r>
      <w:r w:rsidR="007848AD">
        <w:t>,</w:t>
      </w:r>
      <w:r>
        <w:t xml:space="preserve"> der stilles til sikkerhed til orkestreringskomponenten i forbindelse med </w:t>
      </w:r>
      <w:r w:rsidRPr="00D474BD">
        <w:t>det kommende udbud. Resultatet af denne analyse deles med erhvervsområdet, så relevante dele kan indgå i deres risikoanalyse</w:t>
      </w:r>
      <w:r w:rsidR="00CE28E0">
        <w:t>,</w:t>
      </w:r>
      <w:r w:rsidRPr="00D474BD">
        <w:t xml:space="preserve"> som planlægges gennemført</w:t>
      </w:r>
      <w:r w:rsidR="00F6313D" w:rsidRPr="00D474BD">
        <w:t xml:space="preserve"> før anskaffelsesfasen primo Q3 2020.</w:t>
      </w:r>
      <w:r w:rsidR="007A208F" w:rsidRPr="00D474BD">
        <w:t xml:space="preserve"> </w:t>
      </w:r>
      <w:r w:rsidR="004F29E3">
        <w:t>Borgerområdets risikoanalyse afsluttes ultimo 2019</w:t>
      </w:r>
      <w:r w:rsidR="007A58D6">
        <w:t>.</w:t>
      </w:r>
    </w:p>
    <w:p w14:paraId="568DCEAC" w14:textId="77777777" w:rsidR="007A3306" w:rsidRPr="007A3306" w:rsidRDefault="007A3306" w:rsidP="007A3306">
      <w:pPr>
        <w:pStyle w:val="Listeafsnit"/>
        <w:rPr>
          <w:b/>
        </w:rPr>
      </w:pPr>
    </w:p>
    <w:p w14:paraId="193E7E1E" w14:textId="67D731E8" w:rsidR="007A3306" w:rsidRDefault="007A3306" w:rsidP="007A3306">
      <w:pPr>
        <w:pStyle w:val="Listeafsnit"/>
        <w:numPr>
          <w:ilvl w:val="0"/>
          <w:numId w:val="5"/>
        </w:numPr>
        <w:rPr>
          <w:b/>
        </w:rPr>
      </w:pPr>
      <w:r w:rsidRPr="007A3306">
        <w:rPr>
          <w:b/>
        </w:rPr>
        <w:t>Det anbefales, at data</w:t>
      </w:r>
      <w:r w:rsidR="007848AD">
        <w:rPr>
          <w:b/>
        </w:rPr>
        <w:t>,</w:t>
      </w:r>
      <w:r w:rsidRPr="007A3306">
        <w:rPr>
          <w:b/>
        </w:rPr>
        <w:t xml:space="preserve"> der er opbevaret i en orkestreringskomponenterne</w:t>
      </w:r>
      <w:r w:rsidR="007848AD">
        <w:rPr>
          <w:b/>
        </w:rPr>
        <w:t>,</w:t>
      </w:r>
      <w:r w:rsidRPr="007A3306">
        <w:rPr>
          <w:b/>
        </w:rPr>
        <w:t xml:space="preserve"> holdes krypteret, indtil en slutbruger retmæssigt efterspørger den.  </w:t>
      </w:r>
    </w:p>
    <w:p w14:paraId="0D791261" w14:textId="703019CC" w:rsidR="004B7C91" w:rsidRDefault="004B7C91" w:rsidP="004B7C91">
      <w:pPr>
        <w:ind w:left="360"/>
      </w:pPr>
      <w:r>
        <w:t>På borgerområdet opbevares ikke data. Det eneste data</w:t>
      </w:r>
      <w:r w:rsidR="007848AD">
        <w:t>,</w:t>
      </w:r>
      <w:r>
        <w:t xml:space="preserve"> der kan opbevares i den borgerrettede orkestreringskomponent</w:t>
      </w:r>
      <w:r w:rsidR="007848AD">
        <w:t>,</w:t>
      </w:r>
      <w:r>
        <w:t xml:space="preserve"> er bestandslister over aktive CPR numre i et fagsystem. Disse vil blive opbevaret </w:t>
      </w:r>
      <w:r w:rsidR="00BD21CE">
        <w:t xml:space="preserve">i </w:t>
      </w:r>
      <w:r>
        <w:t>krypteret</w:t>
      </w:r>
      <w:r w:rsidR="00BD21CE">
        <w:t xml:space="preserve">/anonymiseret form, fx gennem hash-værdier, og </w:t>
      </w:r>
      <w:r w:rsidR="007848AD">
        <w:t xml:space="preserve">de </w:t>
      </w:r>
      <w:r w:rsidR="00BD21CE">
        <w:t>vil derfor ikke kunne tilgås eller anvendes uden</w:t>
      </w:r>
      <w:r w:rsidR="00385E4B">
        <w:t xml:space="preserve"> </w:t>
      </w:r>
      <w:r w:rsidR="00BD21CE">
        <w:t>for</w:t>
      </w:r>
      <w:r w:rsidR="00385E4B">
        <w:t xml:space="preserve"> </w:t>
      </w:r>
      <w:r w:rsidR="00BD21CE">
        <w:t>orkestreringskomponenten</w:t>
      </w:r>
      <w:r w:rsidR="00BD21CE">
        <w:rPr>
          <w:rStyle w:val="Kommentarhenvisning"/>
        </w:rPr>
        <w:t>.</w:t>
      </w:r>
    </w:p>
    <w:p w14:paraId="78C2BFAB" w14:textId="7B6CDFF2" w:rsidR="004B7C91" w:rsidRDefault="004B7C91" w:rsidP="004B7C91">
      <w:pPr>
        <w:ind w:left="360"/>
      </w:pPr>
      <w:r w:rsidRPr="00D474BD">
        <w:t>På erhver</w:t>
      </w:r>
      <w:r w:rsidR="007667E5" w:rsidRPr="00D474BD">
        <w:t>v</w:t>
      </w:r>
      <w:r w:rsidRPr="00D474BD">
        <w:t>sområd</w:t>
      </w:r>
      <w:r w:rsidR="00F6313D" w:rsidRPr="00D474BD">
        <w:t xml:space="preserve">et vil data blive opbevaret, hvorfor utilsigtet adgang til data skal sikres. Projektet tager anbefalingen til efterretning og </w:t>
      </w:r>
      <w:r w:rsidR="00D824B1" w:rsidRPr="00D474BD">
        <w:t>vil</w:t>
      </w:r>
      <w:r w:rsidR="00F6313D" w:rsidRPr="00D474BD">
        <w:t xml:space="preserve"> derfor sikre datakryptering. I forbindelse med risikoanalysen vil risikoen og konsekvenserne vurderes</w:t>
      </w:r>
      <w:r w:rsidR="000E1A71" w:rsidRPr="00D474BD">
        <w:t>,</w:t>
      </w:r>
      <w:r w:rsidR="00F6313D" w:rsidRPr="00D474BD">
        <w:t xml:space="preserve"> hvis hændelsen indtræffer. På baggrund </w:t>
      </w:r>
      <w:r w:rsidR="000E1A71" w:rsidRPr="00D474BD">
        <w:t xml:space="preserve">af konklusionerne i analysen </w:t>
      </w:r>
      <w:r w:rsidR="00F6313D" w:rsidRPr="00D474BD">
        <w:t>vil projektet stille krav til udviklingsleverandøren</w:t>
      </w:r>
      <w:r w:rsidR="000E1A71" w:rsidRPr="00D474BD">
        <w:t xml:space="preserve"> </w:t>
      </w:r>
      <w:r w:rsidR="007848AD">
        <w:t>om</w:t>
      </w:r>
      <w:r w:rsidR="000E1A71" w:rsidRPr="00D474BD">
        <w:t xml:space="preserve"> sikring af data.</w:t>
      </w:r>
    </w:p>
    <w:p w14:paraId="32ED10EF" w14:textId="77777777" w:rsidR="00385E4B" w:rsidRPr="004B7C91" w:rsidRDefault="00385E4B" w:rsidP="004B7C91">
      <w:pPr>
        <w:ind w:left="360"/>
      </w:pPr>
    </w:p>
    <w:p w14:paraId="623FF84F" w14:textId="77777777" w:rsidR="007A3306" w:rsidRPr="004B7C91" w:rsidRDefault="007A3306" w:rsidP="007A3306">
      <w:pPr>
        <w:pStyle w:val="Listeafsnit"/>
        <w:numPr>
          <w:ilvl w:val="0"/>
          <w:numId w:val="5"/>
        </w:numPr>
      </w:pPr>
      <w:r w:rsidRPr="007A3306">
        <w:rPr>
          <w:b/>
        </w:rPr>
        <w:t xml:space="preserve">Det anbefales, at projekterne tidligt får afdækket forudsætningerne for levering af data og får etableret tydelige og koordinerede krav til leverandører af data. </w:t>
      </w:r>
    </w:p>
    <w:p w14:paraId="4B25CBD6" w14:textId="42B4C5BD" w:rsidR="004B7C91" w:rsidRDefault="004B7C91" w:rsidP="004B7C91">
      <w:pPr>
        <w:ind w:left="360"/>
      </w:pPr>
      <w:r>
        <w:lastRenderedPageBreak/>
        <w:t xml:space="preserve">Projekterne er enige i </w:t>
      </w:r>
      <w:proofErr w:type="spellStart"/>
      <w:r>
        <w:t>boardets</w:t>
      </w:r>
      <w:proofErr w:type="spellEnd"/>
      <w:r>
        <w:t xml:space="preserve"> anbefaling. Det borgerrettede projekt vil på baggrund af denne anbefaling i Q1 2020 udarbejde en liste over forudsætninger og krav til dataleverandører i forbindelse med anvendelse af komponenten. Denne liste vil blive offentliggjort på</w:t>
      </w:r>
      <w:r w:rsidR="007848AD">
        <w:t xml:space="preserve"> hjemmesiden</w:t>
      </w:r>
      <w:r>
        <w:t xml:space="preserve"> digst.dk/orkestreringskomponenten. </w:t>
      </w:r>
      <w:r w:rsidR="007848AD">
        <w:t xml:space="preserve">Endvidere </w:t>
      </w:r>
      <w:r>
        <w:t>vil projektet udarbejde en vejledning til dataleverandører, både i forhold til tilslutning og til anvendelse af de fælles datamodeller. Denne vejledning vil være etableret inden udgangen af 2020</w:t>
      </w:r>
      <w:r w:rsidR="007848AD">
        <w:t>,</w:t>
      </w:r>
      <w:r>
        <w:t xml:space="preserve"> hvor komponenten idriftsættes. </w:t>
      </w:r>
    </w:p>
    <w:p w14:paraId="0409A21E" w14:textId="1D77E505" w:rsidR="007667E5" w:rsidRPr="004B7C91" w:rsidRDefault="007667E5" w:rsidP="004B7C91">
      <w:pPr>
        <w:ind w:left="360"/>
      </w:pPr>
      <w:r w:rsidRPr="003643C0">
        <w:t>På erhvervsområdet</w:t>
      </w:r>
      <w:r w:rsidR="00D824B1" w:rsidRPr="003643C0">
        <w:t xml:space="preserve"> vil man evaluere pilotens resultater og på den baggrund vurdere, hvilke integrationsmuligheder løsningen skal stille til rådighed for dataleverandørerne. Kravene og mulighederne vil indgå i den kontraktuelle aftale, der indgås mellem Erhvervsstyrelsen og dataleverandøren.</w:t>
      </w:r>
    </w:p>
    <w:p w14:paraId="77FB8025" w14:textId="7F19E2D4" w:rsidR="00016419" w:rsidRPr="000C3B4C" w:rsidRDefault="00016419" w:rsidP="00BF6D9F">
      <w:pPr>
        <w:rPr>
          <w:color w:val="548DD4" w:themeColor="text2" w:themeTint="99"/>
        </w:rPr>
      </w:pPr>
    </w:p>
    <w:p w14:paraId="067000AC" w14:textId="77777777" w:rsidR="00034A56" w:rsidRDefault="00034A56" w:rsidP="00034A56">
      <w:pPr>
        <w:pStyle w:val="Overskrift2"/>
      </w:pPr>
      <w:bookmarkStart w:id="15" w:name="_Toc26262602"/>
      <w:r>
        <w:t>Opsummering på handlingsplan</w:t>
      </w:r>
      <w:bookmarkEnd w:id="15"/>
    </w:p>
    <w:p w14:paraId="11D66DAD" w14:textId="33894D44" w:rsidR="00BF6D9F" w:rsidRDefault="00195D33" w:rsidP="00BF6D9F">
      <w:r>
        <w:t xml:space="preserve">Projekterne </w:t>
      </w:r>
      <w:r w:rsidR="007848AD">
        <w:t xml:space="preserve">er </w:t>
      </w:r>
      <w:r>
        <w:t xml:space="preserve">enige i de nærværende anbefalinger og vurderer ikke, at </w:t>
      </w:r>
      <w:r w:rsidR="007848AD">
        <w:t xml:space="preserve">det får </w:t>
      </w:r>
      <w:r>
        <w:t>økonomiske konsekvenser for projekterne at implementere</w:t>
      </w:r>
      <w:r w:rsidR="007848AD">
        <w:t xml:space="preserve"> dem</w:t>
      </w:r>
      <w:r>
        <w:t xml:space="preserve">. </w:t>
      </w:r>
    </w:p>
    <w:p w14:paraId="74A9139F" w14:textId="1A8C29C9" w:rsidR="00195D33" w:rsidRDefault="00195D33" w:rsidP="00BF6D9F">
      <w:r>
        <w:t>Projekterne igangsætter på baggrund af rapporten følgende aktiviteter:</w:t>
      </w:r>
    </w:p>
    <w:p w14:paraId="0E2BCAFB" w14:textId="0D49E43D" w:rsidR="00195D33" w:rsidRPr="00FE68F7" w:rsidRDefault="00195D33" w:rsidP="00195D33">
      <w:pPr>
        <w:pStyle w:val="Listeafsnit"/>
        <w:numPr>
          <w:ilvl w:val="0"/>
          <w:numId w:val="6"/>
        </w:numPr>
      </w:pPr>
      <w:r w:rsidRPr="00FE68F7">
        <w:t xml:space="preserve">Projekterne orienterer sig i relevante </w:t>
      </w:r>
      <w:r w:rsidR="007848AD" w:rsidRPr="00FE68F7">
        <w:t>FDA</w:t>
      </w:r>
      <w:r w:rsidR="007848AD">
        <w:t>-</w:t>
      </w:r>
      <w:r w:rsidRPr="00FE68F7">
        <w:t>produkter med henblik på at anvende fællesoffentlige begreber og modeller herfra</w:t>
      </w:r>
    </w:p>
    <w:p w14:paraId="0699A841" w14:textId="021974F4" w:rsidR="00195D33" w:rsidRPr="00FE68F7" w:rsidRDefault="00195D33" w:rsidP="00195D33">
      <w:pPr>
        <w:pStyle w:val="Listeafsnit"/>
        <w:numPr>
          <w:ilvl w:val="0"/>
          <w:numId w:val="6"/>
        </w:numPr>
      </w:pPr>
      <w:r w:rsidRPr="00FE68F7">
        <w:t xml:space="preserve">Projekterne etablerer en </w:t>
      </w:r>
      <w:proofErr w:type="spellStart"/>
      <w:r w:rsidRPr="00FE68F7">
        <w:t>governance</w:t>
      </w:r>
      <w:proofErr w:type="spellEnd"/>
      <w:r w:rsidRPr="00FE68F7">
        <w:t xml:space="preserve"> for data- og begrebsmodeller</w:t>
      </w:r>
    </w:p>
    <w:p w14:paraId="25A85756" w14:textId="20070597" w:rsidR="00195D33" w:rsidRPr="00FE68F7" w:rsidRDefault="00195D33" w:rsidP="00195D33">
      <w:pPr>
        <w:pStyle w:val="Listeafsnit"/>
        <w:numPr>
          <w:ilvl w:val="0"/>
          <w:numId w:val="6"/>
        </w:numPr>
      </w:pPr>
      <w:r w:rsidRPr="00FE68F7">
        <w:t xml:space="preserve">Projekterne anmoder om, at der beskrives en </w:t>
      </w:r>
      <w:proofErr w:type="spellStart"/>
      <w:r w:rsidRPr="00FE68F7">
        <w:t>governance</w:t>
      </w:r>
      <w:proofErr w:type="spellEnd"/>
      <w:r w:rsidRPr="00FE68F7">
        <w:t xml:space="preserve"> for </w:t>
      </w:r>
      <w:r w:rsidR="00FE68F7" w:rsidRPr="00FE68F7">
        <w:t>scenariet med flere end to aftagere til orkestreringskomponenter i referencearkitekturen for overblik</w:t>
      </w:r>
    </w:p>
    <w:p w14:paraId="51541729" w14:textId="2234EFF7" w:rsidR="00195D33" w:rsidRPr="00FE68F7" w:rsidRDefault="00195D33" w:rsidP="00195D33">
      <w:pPr>
        <w:pStyle w:val="Listeafsnit"/>
        <w:numPr>
          <w:ilvl w:val="0"/>
          <w:numId w:val="6"/>
        </w:numPr>
      </w:pPr>
      <w:r w:rsidRPr="00FE68F7">
        <w:t>Projekterne sikrer en rettidig adressering af sikkerhed i løsningerne</w:t>
      </w:r>
    </w:p>
    <w:p w14:paraId="63E690B9" w14:textId="1DE25BBC" w:rsidR="00195D33" w:rsidRPr="00FE68F7" w:rsidRDefault="00195D33" w:rsidP="00195D33">
      <w:pPr>
        <w:pStyle w:val="Listeafsnit"/>
        <w:numPr>
          <w:ilvl w:val="0"/>
          <w:numId w:val="6"/>
        </w:numPr>
      </w:pPr>
      <w:r w:rsidRPr="00FE68F7">
        <w:t xml:space="preserve">Data </w:t>
      </w:r>
      <w:r w:rsidR="00BD21CE">
        <w:t xml:space="preserve">der lagres </w:t>
      </w:r>
      <w:r w:rsidRPr="00FE68F7">
        <w:t>i orkestreringskomponenterne</w:t>
      </w:r>
      <w:r w:rsidR="00BD21CE" w:rsidRPr="00FE68F7">
        <w:t xml:space="preserve"> </w:t>
      </w:r>
      <w:r w:rsidRPr="00FE68F7">
        <w:t>kryptere</w:t>
      </w:r>
      <w:r w:rsidR="00BD21CE">
        <w:t>s/anonymiseres</w:t>
      </w:r>
    </w:p>
    <w:p w14:paraId="6F146119" w14:textId="5894B6E4" w:rsidR="00195D33" w:rsidRPr="00FE68F7" w:rsidRDefault="00195D33" w:rsidP="00195D33">
      <w:pPr>
        <w:pStyle w:val="Listeafsnit"/>
        <w:numPr>
          <w:ilvl w:val="0"/>
          <w:numId w:val="6"/>
        </w:numPr>
      </w:pPr>
      <w:r w:rsidRPr="00FE68F7">
        <w:t xml:space="preserve">Projekterne etablerer relevante vejledninger til dataleverandører </w:t>
      </w:r>
    </w:p>
    <w:p w14:paraId="5C391C12" w14:textId="3450D8BB" w:rsidR="00195D33" w:rsidRPr="00195D33" w:rsidRDefault="00195D33" w:rsidP="00195D33">
      <w:pPr>
        <w:rPr>
          <w:color w:val="548DD4" w:themeColor="text2" w:themeTint="99"/>
        </w:rPr>
      </w:pPr>
    </w:p>
    <w:p w14:paraId="6A3A393F" w14:textId="77777777" w:rsidR="00BF6D9F" w:rsidRDefault="00756BE3" w:rsidP="00756BE3">
      <w:pPr>
        <w:pStyle w:val="Overskrift1"/>
      </w:pPr>
      <w:bookmarkStart w:id="16" w:name="_Toc26262603"/>
      <w:r>
        <w:t>Øvrige bemærkninger til arkitektur-</w:t>
      </w:r>
      <w:proofErr w:type="spellStart"/>
      <w:r>
        <w:t>reviewet</w:t>
      </w:r>
      <w:bookmarkEnd w:id="16"/>
      <w:proofErr w:type="spellEnd"/>
    </w:p>
    <w:bookmarkEnd w:id="10"/>
    <w:bookmarkEnd w:id="11"/>
    <w:p w14:paraId="56B316F4" w14:textId="7CC90708" w:rsidR="00756BE3" w:rsidRPr="00FE68F7" w:rsidRDefault="00FE68F7" w:rsidP="00756BE3">
      <w:r w:rsidRPr="00FE68F7">
        <w:t>Projekterne har indgået aftale om at etablere et koordinationsforum</w:t>
      </w:r>
      <w:r w:rsidR="007848AD">
        <w:t>,</w:t>
      </w:r>
      <w:r w:rsidRPr="00FE68F7">
        <w:t xml:space="preserve"> hvor projekterne mødes med 4. </w:t>
      </w:r>
      <w:proofErr w:type="spellStart"/>
      <w:r w:rsidRPr="00FE68F7">
        <w:t>ugerskadence</w:t>
      </w:r>
      <w:proofErr w:type="spellEnd"/>
      <w:r w:rsidRPr="00FE68F7">
        <w:t xml:space="preserve"> </w:t>
      </w:r>
      <w:r w:rsidR="007848AD">
        <w:t>for at drøfte</w:t>
      </w:r>
      <w:r w:rsidRPr="00FE68F7">
        <w:t xml:space="preserve"> afhængigheder og koordinere på tværs af borger- og erhvervsområdet. Dett</w:t>
      </w:r>
      <w:bookmarkStart w:id="17" w:name="_GoBack"/>
      <w:bookmarkEnd w:id="17"/>
      <w:r w:rsidRPr="00FE68F7">
        <w:t>e er vurderet som den bedste måde at sikre håndteringen af de snitflader</w:t>
      </w:r>
      <w:r w:rsidR="00060913">
        <w:t>,</w:t>
      </w:r>
      <w:r w:rsidRPr="00FE68F7">
        <w:t xml:space="preserve"> der er mellem projekterne</w:t>
      </w:r>
      <w:r w:rsidR="00060913">
        <w:t>,</w:t>
      </w:r>
      <w:r w:rsidRPr="00FE68F7">
        <w:t xml:space="preserve"> </w:t>
      </w:r>
      <w:r w:rsidR="00060913">
        <w:t>f</w:t>
      </w:r>
      <w:r w:rsidRPr="00FE68F7">
        <w:t>x i forhold</w:t>
      </w:r>
      <w:r w:rsidR="004036E7">
        <w:t xml:space="preserve"> til at sikre en ensretning </w:t>
      </w:r>
      <w:r w:rsidR="00060913">
        <w:t>af</w:t>
      </w:r>
      <w:r w:rsidR="004036E7">
        <w:t xml:space="preserve"> datamodeller, </w:t>
      </w:r>
      <w:r w:rsidRPr="00FE68F7">
        <w:t xml:space="preserve">snitflader og </w:t>
      </w:r>
      <w:proofErr w:type="spellStart"/>
      <w:r w:rsidRPr="00FE68F7">
        <w:t>governance</w:t>
      </w:r>
      <w:proofErr w:type="spellEnd"/>
      <w:r w:rsidRPr="00FE68F7">
        <w:t xml:space="preserve"> ud mod dataleverandører. </w:t>
      </w:r>
    </w:p>
    <w:sectPr w:rsidR="00756BE3" w:rsidRPr="00FE68F7" w:rsidSect="00145025">
      <w:headerReference w:type="default" r:id="rId13"/>
      <w:footerReference w:type="default" r:id="rId14"/>
      <w:pgSz w:w="11906" w:h="16838"/>
      <w:pgMar w:top="1985" w:right="2381" w:bottom="1191" w:left="158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0755F7" w16cid:durableId="39070A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8E425" w14:textId="77777777" w:rsidR="002244BD" w:rsidRDefault="002244BD" w:rsidP="00435861">
      <w:pPr>
        <w:spacing w:after="0" w:line="240" w:lineRule="auto"/>
      </w:pPr>
      <w:r>
        <w:separator/>
      </w:r>
    </w:p>
  </w:endnote>
  <w:endnote w:type="continuationSeparator" w:id="0">
    <w:p w14:paraId="1A5E19C5" w14:textId="77777777" w:rsidR="002244BD" w:rsidRDefault="002244BD" w:rsidP="00435861">
      <w:pPr>
        <w:spacing w:after="0" w:line="240" w:lineRule="auto"/>
      </w:pPr>
      <w:r>
        <w:continuationSeparator/>
      </w:r>
    </w:p>
  </w:endnote>
  <w:endnote w:type="continuationNotice" w:id="1">
    <w:p w14:paraId="147EE7A6" w14:textId="77777777" w:rsidR="002244BD" w:rsidRDefault="002244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612150"/>
      <w:docPartObj>
        <w:docPartGallery w:val="Page Numbers (Bottom of Page)"/>
        <w:docPartUnique/>
      </w:docPartObj>
    </w:sdtPr>
    <w:sdtEndPr/>
    <w:sdtContent>
      <w:p w14:paraId="77A57924" w14:textId="77777777" w:rsidR="00195D33" w:rsidRDefault="00195D33">
        <w:pPr>
          <w:pStyle w:val="Sidefod"/>
        </w:pPr>
        <w:r>
          <w:rPr>
            <w:noProof/>
            <w:lang w:eastAsia="da-DK"/>
          </w:rPr>
          <mc:AlternateContent>
            <mc:Choice Requires="wpg">
              <w:drawing>
                <wp:anchor distT="0" distB="0" distL="114300" distR="114300" simplePos="0" relativeHeight="251658240" behindDoc="0" locked="0" layoutInCell="1" allowOverlap="1" wp14:anchorId="7E715B56" wp14:editId="5DC9F032">
                  <wp:simplePos x="0" y="0"/>
                  <wp:positionH relativeFrom="page">
                    <wp:align>center</wp:align>
                  </wp:positionH>
                  <wp:positionV relativeFrom="bottomMargin">
                    <wp:align>center</wp:align>
                  </wp:positionV>
                  <wp:extent cx="7781925" cy="190500"/>
                  <wp:effectExtent l="9525" t="9525" r="9525" b="0"/>
                  <wp:wrapNone/>
                  <wp:docPr id="637" name="Grup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0950B" w14:textId="6664DDAF" w:rsidR="00195D33" w:rsidRDefault="00195D33">
                                <w:pPr>
                                  <w:jc w:val="center"/>
                                </w:pPr>
                                <w:r>
                                  <w:fldChar w:fldCharType="begin"/>
                                </w:r>
                                <w:r>
                                  <w:instrText>PAGE    \* MERGEFORMAT</w:instrText>
                                </w:r>
                                <w:r>
                                  <w:fldChar w:fldCharType="separate"/>
                                </w:r>
                                <w:r w:rsidR="00F47B58" w:rsidRPr="00F47B58">
                                  <w:rPr>
                                    <w:noProof/>
                                    <w:color w:val="8C8C8C" w:themeColor="background1" w:themeShade="8C"/>
                                  </w:rPr>
                                  <w:t>3</w:t>
                                </w:r>
                                <w:r>
                                  <w:rPr>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E715B56" id="Gruppe 32" o:spid="_x0000_s1026" style="position:absolute;margin-left:0;margin-top:0;width:612.75pt;height:15pt;z-index:251658240;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oxwgAAANwAAAAPAAAAZHJzL2Rvd25yZXYueG1sRE/Pa8Iw&#10;FL4P/B/CE3abqRu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CRbloxwgAAANwAAAAPAAAA&#10;AAAAAAAAAAAAAAcCAABkcnMvZG93bnJldi54bWxQSwUGAAAAAAMAAwC3AAAA9gIAAAAA&#10;" filled="f" stroked="f">
                    <v:textbox inset="0,0,0,0">
                      <w:txbxContent>
                        <w:p w14:paraId="2710950B" w14:textId="6664DDAF" w:rsidR="00195D33" w:rsidRDefault="00195D33">
                          <w:pPr>
                            <w:jc w:val="center"/>
                          </w:pPr>
                          <w:r>
                            <w:fldChar w:fldCharType="begin"/>
                          </w:r>
                          <w:r>
                            <w:instrText>PAGE    \* MERGEFORMAT</w:instrText>
                          </w:r>
                          <w:r>
                            <w:fldChar w:fldCharType="separate"/>
                          </w:r>
                          <w:r w:rsidR="00F47B58" w:rsidRPr="00F47B58">
                            <w:rPr>
                              <w:noProof/>
                              <w:color w:val="8C8C8C" w:themeColor="background1" w:themeShade="8C"/>
                            </w:rPr>
                            <w:t>3</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E4E42" w14:textId="77777777" w:rsidR="002244BD" w:rsidRDefault="002244BD" w:rsidP="00435861">
      <w:pPr>
        <w:spacing w:after="0" w:line="240" w:lineRule="auto"/>
      </w:pPr>
      <w:r>
        <w:separator/>
      </w:r>
    </w:p>
  </w:footnote>
  <w:footnote w:type="continuationSeparator" w:id="0">
    <w:p w14:paraId="77E545A0" w14:textId="77777777" w:rsidR="002244BD" w:rsidRDefault="002244BD" w:rsidP="00435861">
      <w:pPr>
        <w:spacing w:after="0" w:line="240" w:lineRule="auto"/>
      </w:pPr>
      <w:r>
        <w:continuationSeparator/>
      </w:r>
    </w:p>
  </w:footnote>
  <w:footnote w:type="continuationNotice" w:id="1">
    <w:p w14:paraId="53624C40" w14:textId="77777777" w:rsidR="002244BD" w:rsidRDefault="002244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4" w:type="pct"/>
      <w:tblCellMar>
        <w:top w:w="72" w:type="dxa"/>
        <w:left w:w="115" w:type="dxa"/>
        <w:bottom w:w="72" w:type="dxa"/>
        <w:right w:w="115" w:type="dxa"/>
      </w:tblCellMar>
      <w:tblLook w:val="04A0" w:firstRow="1" w:lastRow="0" w:firstColumn="1" w:lastColumn="0" w:noHBand="0" w:noVBand="1"/>
    </w:tblPr>
    <w:tblGrid>
      <w:gridCol w:w="5555"/>
      <w:gridCol w:w="2960"/>
    </w:tblGrid>
    <w:tr w:rsidR="00195D33" w14:paraId="7DE58979" w14:textId="77777777" w:rsidTr="00F202FD">
      <w:tc>
        <w:tcPr>
          <w:tcW w:w="3262" w:type="pct"/>
          <w:tcBorders>
            <w:bottom w:val="single" w:sz="4" w:space="0" w:color="auto"/>
          </w:tcBorders>
          <w:vAlign w:val="bottom"/>
        </w:tcPr>
        <w:p w14:paraId="7AA4FC99" w14:textId="77777777" w:rsidR="00195D33" w:rsidRPr="00F202FD" w:rsidRDefault="00195D33">
          <w:pPr>
            <w:pStyle w:val="Sidehoved"/>
            <w:jc w:val="right"/>
            <w:rPr>
              <w:b/>
              <w:bCs/>
              <w:i/>
              <w:color w:val="95B3D7" w:themeColor="accent1" w:themeTint="99"/>
              <w:sz w:val="24"/>
              <w:szCs w:val="24"/>
            </w:rPr>
          </w:pPr>
          <w:r w:rsidRPr="00F202FD">
            <w:rPr>
              <w:b/>
              <w:bCs/>
              <w:i/>
              <w:color w:val="95B3D7" w:themeColor="accent1" w:themeTint="99"/>
              <w:sz w:val="24"/>
              <w:szCs w:val="24"/>
            </w:rPr>
            <w:t>Handlingsplan</w:t>
          </w:r>
        </w:p>
        <w:p w14:paraId="267B7238" w14:textId="77777777" w:rsidR="00195D33" w:rsidRDefault="00195D33">
          <w:pPr>
            <w:pStyle w:val="Sidehoved"/>
            <w:jc w:val="right"/>
            <w:rPr>
              <w:color w:val="76923C" w:themeColor="accent3" w:themeShade="BF"/>
              <w:sz w:val="24"/>
              <w:szCs w:val="24"/>
            </w:rPr>
          </w:pPr>
        </w:p>
      </w:tc>
      <w:tc>
        <w:tcPr>
          <w:tcW w:w="1738" w:type="pct"/>
          <w:tcBorders>
            <w:bottom w:val="single" w:sz="4" w:space="0" w:color="943634" w:themeColor="accent2" w:themeShade="BF"/>
          </w:tcBorders>
          <w:shd w:val="clear" w:color="auto" w:fill="943634" w:themeFill="accent2" w:themeFillShade="BF"/>
        </w:tcPr>
        <w:p w14:paraId="68D992E7" w14:textId="77777777" w:rsidR="00195D33" w:rsidRPr="00F202FD" w:rsidRDefault="00195D33" w:rsidP="000A3C32">
          <w:pPr>
            <w:pStyle w:val="Sidehoved"/>
            <w:jc w:val="right"/>
            <w:rPr>
              <w:b/>
              <w:color w:val="FFFFFF" w:themeColor="background1"/>
            </w:rPr>
          </w:pPr>
          <w:r>
            <w:rPr>
              <w:b/>
              <w:color w:val="FFFFFF" w:themeColor="background1"/>
            </w:rPr>
            <w:t>Orkestreringskomponenterne for Borger.dk og Virk.dk</w:t>
          </w:r>
        </w:p>
      </w:tc>
    </w:tr>
  </w:tbl>
  <w:p w14:paraId="69D7D3D3" w14:textId="77777777" w:rsidR="00195D33" w:rsidRDefault="00195D3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85E796A"/>
    <w:lvl w:ilvl="0">
      <w:start w:val="5"/>
      <w:numFmt w:val="bullet"/>
      <w:lvlText w:val="-"/>
      <w:lvlJc w:val="left"/>
      <w:pPr>
        <w:ind w:left="360" w:hanging="360"/>
      </w:pPr>
      <w:rPr>
        <w:rFonts w:ascii="Corbel" w:eastAsiaTheme="minorHAnsi" w:hAnsi="Corbel" w:cstheme="minorBidi" w:hint="default"/>
      </w:rPr>
    </w:lvl>
  </w:abstractNum>
  <w:abstractNum w:abstractNumId="1" w15:restartNumberingAfterBreak="0">
    <w:nsid w:val="284B020A"/>
    <w:multiLevelType w:val="hybridMultilevel"/>
    <w:tmpl w:val="9FD888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E0A7EF9"/>
    <w:multiLevelType w:val="hybridMultilevel"/>
    <w:tmpl w:val="EF52C3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0E22B33"/>
    <w:multiLevelType w:val="hybridMultilevel"/>
    <w:tmpl w:val="7512968E"/>
    <w:lvl w:ilvl="0" w:tplc="B85E796A">
      <w:start w:val="5"/>
      <w:numFmt w:val="bullet"/>
      <w:lvlText w:val="-"/>
      <w:lvlJc w:val="left"/>
      <w:pPr>
        <w:ind w:left="360" w:hanging="360"/>
      </w:pPr>
      <w:rPr>
        <w:rFonts w:ascii="Corbel" w:eastAsiaTheme="minorHAnsi" w:hAnsi="Corbel"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65287EBE"/>
    <w:multiLevelType w:val="hybridMultilevel"/>
    <w:tmpl w:val="50D0D30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66687FCD"/>
    <w:multiLevelType w:val="hybridMultilevel"/>
    <w:tmpl w:val="789459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C5"/>
    <w:rsid w:val="00002959"/>
    <w:rsid w:val="000032DF"/>
    <w:rsid w:val="00003F62"/>
    <w:rsid w:val="00005765"/>
    <w:rsid w:val="000138D7"/>
    <w:rsid w:val="000146D0"/>
    <w:rsid w:val="00016419"/>
    <w:rsid w:val="000250A9"/>
    <w:rsid w:val="00034A56"/>
    <w:rsid w:val="0003694F"/>
    <w:rsid w:val="00040B7D"/>
    <w:rsid w:val="000532D2"/>
    <w:rsid w:val="00053D4F"/>
    <w:rsid w:val="00060905"/>
    <w:rsid w:val="00060913"/>
    <w:rsid w:val="00063517"/>
    <w:rsid w:val="000663DC"/>
    <w:rsid w:val="00071197"/>
    <w:rsid w:val="00077D5B"/>
    <w:rsid w:val="000A3C32"/>
    <w:rsid w:val="000B310A"/>
    <w:rsid w:val="000C3B4C"/>
    <w:rsid w:val="000C720B"/>
    <w:rsid w:val="000D4B00"/>
    <w:rsid w:val="000D6FCD"/>
    <w:rsid w:val="000E1A71"/>
    <w:rsid w:val="000F20C5"/>
    <w:rsid w:val="00102372"/>
    <w:rsid w:val="00114190"/>
    <w:rsid w:val="0011539E"/>
    <w:rsid w:val="0012274C"/>
    <w:rsid w:val="00131C0E"/>
    <w:rsid w:val="001347A0"/>
    <w:rsid w:val="0014161F"/>
    <w:rsid w:val="00145025"/>
    <w:rsid w:val="001522DA"/>
    <w:rsid w:val="00154E59"/>
    <w:rsid w:val="001558D1"/>
    <w:rsid w:val="0016128B"/>
    <w:rsid w:val="00165804"/>
    <w:rsid w:val="00175A43"/>
    <w:rsid w:val="001879DB"/>
    <w:rsid w:val="001900CC"/>
    <w:rsid w:val="00195D33"/>
    <w:rsid w:val="001A1EF4"/>
    <w:rsid w:val="001A6C14"/>
    <w:rsid w:val="001B2B38"/>
    <w:rsid w:val="001B3975"/>
    <w:rsid w:val="001B6F98"/>
    <w:rsid w:val="001B7FC1"/>
    <w:rsid w:val="001C0FA9"/>
    <w:rsid w:val="001C3366"/>
    <w:rsid w:val="001C559D"/>
    <w:rsid w:val="001E0E93"/>
    <w:rsid w:val="00211C09"/>
    <w:rsid w:val="002244BD"/>
    <w:rsid w:val="00235D55"/>
    <w:rsid w:val="00244AF1"/>
    <w:rsid w:val="002470BD"/>
    <w:rsid w:val="00270D94"/>
    <w:rsid w:val="0027372E"/>
    <w:rsid w:val="0029162C"/>
    <w:rsid w:val="00291FC6"/>
    <w:rsid w:val="002A41D4"/>
    <w:rsid w:val="002A4EBA"/>
    <w:rsid w:val="002A71DF"/>
    <w:rsid w:val="002B4F1B"/>
    <w:rsid w:val="002D2C12"/>
    <w:rsid w:val="002E589E"/>
    <w:rsid w:val="003147C5"/>
    <w:rsid w:val="00321857"/>
    <w:rsid w:val="00332679"/>
    <w:rsid w:val="003375BC"/>
    <w:rsid w:val="003378D1"/>
    <w:rsid w:val="00357529"/>
    <w:rsid w:val="003643C0"/>
    <w:rsid w:val="0037380D"/>
    <w:rsid w:val="00377CD8"/>
    <w:rsid w:val="00385E4B"/>
    <w:rsid w:val="00387126"/>
    <w:rsid w:val="003A04B7"/>
    <w:rsid w:val="003B2E57"/>
    <w:rsid w:val="003B6ED0"/>
    <w:rsid w:val="003C1277"/>
    <w:rsid w:val="003D6680"/>
    <w:rsid w:val="003E1220"/>
    <w:rsid w:val="003E787E"/>
    <w:rsid w:val="003F2049"/>
    <w:rsid w:val="004036E7"/>
    <w:rsid w:val="0040486C"/>
    <w:rsid w:val="004115D9"/>
    <w:rsid w:val="00412C7E"/>
    <w:rsid w:val="004139FB"/>
    <w:rsid w:val="004205A1"/>
    <w:rsid w:val="00420A51"/>
    <w:rsid w:val="00432016"/>
    <w:rsid w:val="004332A8"/>
    <w:rsid w:val="00435861"/>
    <w:rsid w:val="00446AA4"/>
    <w:rsid w:val="004537B0"/>
    <w:rsid w:val="004561BF"/>
    <w:rsid w:val="004849B6"/>
    <w:rsid w:val="00490551"/>
    <w:rsid w:val="00493CDA"/>
    <w:rsid w:val="00495B18"/>
    <w:rsid w:val="0049782F"/>
    <w:rsid w:val="00497D34"/>
    <w:rsid w:val="004A24FA"/>
    <w:rsid w:val="004A3590"/>
    <w:rsid w:val="004B2C66"/>
    <w:rsid w:val="004B3CE0"/>
    <w:rsid w:val="004B610E"/>
    <w:rsid w:val="004B7C91"/>
    <w:rsid w:val="004D26EC"/>
    <w:rsid w:val="004D5944"/>
    <w:rsid w:val="004F29E3"/>
    <w:rsid w:val="004F3EE1"/>
    <w:rsid w:val="004F5472"/>
    <w:rsid w:val="0051039E"/>
    <w:rsid w:val="005110EC"/>
    <w:rsid w:val="0052126F"/>
    <w:rsid w:val="005238C4"/>
    <w:rsid w:val="00530A27"/>
    <w:rsid w:val="0053336D"/>
    <w:rsid w:val="0056464D"/>
    <w:rsid w:val="00566ED2"/>
    <w:rsid w:val="00582380"/>
    <w:rsid w:val="005961D9"/>
    <w:rsid w:val="00596FAD"/>
    <w:rsid w:val="005970CD"/>
    <w:rsid w:val="005A4E37"/>
    <w:rsid w:val="005C5825"/>
    <w:rsid w:val="005D3F6B"/>
    <w:rsid w:val="005E1D72"/>
    <w:rsid w:val="005E3F0C"/>
    <w:rsid w:val="005F76BF"/>
    <w:rsid w:val="00600858"/>
    <w:rsid w:val="0061310B"/>
    <w:rsid w:val="00621842"/>
    <w:rsid w:val="00633E4D"/>
    <w:rsid w:val="00650E84"/>
    <w:rsid w:val="00652EDE"/>
    <w:rsid w:val="00662BB8"/>
    <w:rsid w:val="006635C6"/>
    <w:rsid w:val="006675CC"/>
    <w:rsid w:val="00676B44"/>
    <w:rsid w:val="00686B00"/>
    <w:rsid w:val="006A0759"/>
    <w:rsid w:val="006A25E8"/>
    <w:rsid w:val="006B0F32"/>
    <w:rsid w:val="006B4D9E"/>
    <w:rsid w:val="006B7F91"/>
    <w:rsid w:val="006D5CD5"/>
    <w:rsid w:val="006D64A6"/>
    <w:rsid w:val="006F58E3"/>
    <w:rsid w:val="0070045B"/>
    <w:rsid w:val="0070160D"/>
    <w:rsid w:val="007022E9"/>
    <w:rsid w:val="0072759A"/>
    <w:rsid w:val="007317A8"/>
    <w:rsid w:val="00732B90"/>
    <w:rsid w:val="00735813"/>
    <w:rsid w:val="00741CA2"/>
    <w:rsid w:val="007440DF"/>
    <w:rsid w:val="00750BA6"/>
    <w:rsid w:val="00756BE3"/>
    <w:rsid w:val="007667E5"/>
    <w:rsid w:val="007848AD"/>
    <w:rsid w:val="00795FF1"/>
    <w:rsid w:val="007A1927"/>
    <w:rsid w:val="007A208F"/>
    <w:rsid w:val="007A3306"/>
    <w:rsid w:val="007A3584"/>
    <w:rsid w:val="007A58D6"/>
    <w:rsid w:val="007A760A"/>
    <w:rsid w:val="007B0B25"/>
    <w:rsid w:val="007B1BB2"/>
    <w:rsid w:val="007D37F8"/>
    <w:rsid w:val="007D5B0C"/>
    <w:rsid w:val="007D7003"/>
    <w:rsid w:val="007D79B8"/>
    <w:rsid w:val="007E4AE5"/>
    <w:rsid w:val="00822D80"/>
    <w:rsid w:val="008311A9"/>
    <w:rsid w:val="0083452F"/>
    <w:rsid w:val="00855EE8"/>
    <w:rsid w:val="00867F6F"/>
    <w:rsid w:val="00892219"/>
    <w:rsid w:val="00892CA2"/>
    <w:rsid w:val="008974E1"/>
    <w:rsid w:val="008A6D82"/>
    <w:rsid w:val="008B0D99"/>
    <w:rsid w:val="008C7FF8"/>
    <w:rsid w:val="008E3E40"/>
    <w:rsid w:val="008F037C"/>
    <w:rsid w:val="008F412F"/>
    <w:rsid w:val="008F5D40"/>
    <w:rsid w:val="008F6496"/>
    <w:rsid w:val="009018D2"/>
    <w:rsid w:val="0090728E"/>
    <w:rsid w:val="00907F25"/>
    <w:rsid w:val="009149DC"/>
    <w:rsid w:val="00922CDE"/>
    <w:rsid w:val="00923AC2"/>
    <w:rsid w:val="00932F41"/>
    <w:rsid w:val="00936C72"/>
    <w:rsid w:val="009530E3"/>
    <w:rsid w:val="00975BB2"/>
    <w:rsid w:val="00980281"/>
    <w:rsid w:val="009859E9"/>
    <w:rsid w:val="00985B17"/>
    <w:rsid w:val="0099097C"/>
    <w:rsid w:val="00991334"/>
    <w:rsid w:val="00997711"/>
    <w:rsid w:val="009A302D"/>
    <w:rsid w:val="009A5F23"/>
    <w:rsid w:val="009A603B"/>
    <w:rsid w:val="009B1346"/>
    <w:rsid w:val="009B6686"/>
    <w:rsid w:val="009E0987"/>
    <w:rsid w:val="009E46AA"/>
    <w:rsid w:val="009E5B94"/>
    <w:rsid w:val="009F3C37"/>
    <w:rsid w:val="009F56D9"/>
    <w:rsid w:val="00A00971"/>
    <w:rsid w:val="00A060D5"/>
    <w:rsid w:val="00A0717D"/>
    <w:rsid w:val="00A13735"/>
    <w:rsid w:val="00A52F59"/>
    <w:rsid w:val="00A73593"/>
    <w:rsid w:val="00A93B3A"/>
    <w:rsid w:val="00A95029"/>
    <w:rsid w:val="00AD68FA"/>
    <w:rsid w:val="00B12599"/>
    <w:rsid w:val="00B168C5"/>
    <w:rsid w:val="00B261AB"/>
    <w:rsid w:val="00B4224E"/>
    <w:rsid w:val="00B42AE9"/>
    <w:rsid w:val="00B43080"/>
    <w:rsid w:val="00B52FA4"/>
    <w:rsid w:val="00B65886"/>
    <w:rsid w:val="00B80F22"/>
    <w:rsid w:val="00B8401E"/>
    <w:rsid w:val="00B844C7"/>
    <w:rsid w:val="00B96F99"/>
    <w:rsid w:val="00BA7443"/>
    <w:rsid w:val="00BD21CE"/>
    <w:rsid w:val="00BE366B"/>
    <w:rsid w:val="00BE6410"/>
    <w:rsid w:val="00BE77B6"/>
    <w:rsid w:val="00BE7B5E"/>
    <w:rsid w:val="00BF6D9F"/>
    <w:rsid w:val="00C05FBC"/>
    <w:rsid w:val="00C061BC"/>
    <w:rsid w:val="00C0627D"/>
    <w:rsid w:val="00C06A3B"/>
    <w:rsid w:val="00C140A5"/>
    <w:rsid w:val="00C14E54"/>
    <w:rsid w:val="00C401E8"/>
    <w:rsid w:val="00C436A7"/>
    <w:rsid w:val="00C46856"/>
    <w:rsid w:val="00C61F49"/>
    <w:rsid w:val="00C700E5"/>
    <w:rsid w:val="00C751E5"/>
    <w:rsid w:val="00C85249"/>
    <w:rsid w:val="00C9256F"/>
    <w:rsid w:val="00C94B68"/>
    <w:rsid w:val="00CA2105"/>
    <w:rsid w:val="00CA6623"/>
    <w:rsid w:val="00CB6997"/>
    <w:rsid w:val="00CD1C4C"/>
    <w:rsid w:val="00CE28E0"/>
    <w:rsid w:val="00D237C9"/>
    <w:rsid w:val="00D44770"/>
    <w:rsid w:val="00D474BD"/>
    <w:rsid w:val="00D664DE"/>
    <w:rsid w:val="00D77061"/>
    <w:rsid w:val="00D824B1"/>
    <w:rsid w:val="00D87A85"/>
    <w:rsid w:val="00DA1C1F"/>
    <w:rsid w:val="00DA6120"/>
    <w:rsid w:val="00DC5D62"/>
    <w:rsid w:val="00DC747C"/>
    <w:rsid w:val="00DD14C2"/>
    <w:rsid w:val="00DD401D"/>
    <w:rsid w:val="00DD7218"/>
    <w:rsid w:val="00DF54A7"/>
    <w:rsid w:val="00E21BEB"/>
    <w:rsid w:val="00E264A5"/>
    <w:rsid w:val="00E3099D"/>
    <w:rsid w:val="00E40938"/>
    <w:rsid w:val="00E45200"/>
    <w:rsid w:val="00E45C4B"/>
    <w:rsid w:val="00E4607D"/>
    <w:rsid w:val="00E51110"/>
    <w:rsid w:val="00E55A0A"/>
    <w:rsid w:val="00E61B57"/>
    <w:rsid w:val="00E65176"/>
    <w:rsid w:val="00E67BC9"/>
    <w:rsid w:val="00E7536D"/>
    <w:rsid w:val="00E904E5"/>
    <w:rsid w:val="00E949A7"/>
    <w:rsid w:val="00EB40C9"/>
    <w:rsid w:val="00EB4ED6"/>
    <w:rsid w:val="00EC4B23"/>
    <w:rsid w:val="00ED5BAD"/>
    <w:rsid w:val="00EE4DCC"/>
    <w:rsid w:val="00EF1E7C"/>
    <w:rsid w:val="00EF45E7"/>
    <w:rsid w:val="00F0609C"/>
    <w:rsid w:val="00F06C5A"/>
    <w:rsid w:val="00F11BC3"/>
    <w:rsid w:val="00F12EE6"/>
    <w:rsid w:val="00F202FD"/>
    <w:rsid w:val="00F30447"/>
    <w:rsid w:val="00F30E0B"/>
    <w:rsid w:val="00F46B60"/>
    <w:rsid w:val="00F47B58"/>
    <w:rsid w:val="00F55C17"/>
    <w:rsid w:val="00F602ED"/>
    <w:rsid w:val="00F60866"/>
    <w:rsid w:val="00F60993"/>
    <w:rsid w:val="00F6313D"/>
    <w:rsid w:val="00F6350A"/>
    <w:rsid w:val="00F86D47"/>
    <w:rsid w:val="00FB5393"/>
    <w:rsid w:val="00FB623A"/>
    <w:rsid w:val="00FC4813"/>
    <w:rsid w:val="00FE5A6E"/>
    <w:rsid w:val="00FE68F7"/>
    <w:rsid w:val="00FE778A"/>
    <w:rsid w:val="3F19DB6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E20B8"/>
  <w15:docId w15:val="{05A77E1E-0351-4408-908E-00A4DDA5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345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125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3452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E67B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1259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B12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tgitter-farve1">
    <w:name w:val="Light Grid Accent 1"/>
    <w:basedOn w:val="Tabel-Normal"/>
    <w:uiPriority w:val="62"/>
    <w:rsid w:val="00B1259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Overskrift3Tegn">
    <w:name w:val="Overskrift 3 Tegn"/>
    <w:basedOn w:val="Standardskrifttypeiafsnit"/>
    <w:link w:val="Overskrift3"/>
    <w:uiPriority w:val="9"/>
    <w:rsid w:val="0083452F"/>
    <w:rPr>
      <w:rFonts w:asciiTheme="majorHAnsi" w:eastAsiaTheme="majorEastAsia" w:hAnsiTheme="majorHAnsi" w:cstheme="majorBidi"/>
      <w:b/>
      <w:bCs/>
      <w:color w:val="4F81BD" w:themeColor="accent1"/>
    </w:rPr>
  </w:style>
  <w:style w:type="character" w:customStyle="1" w:styleId="Overskrift1Tegn">
    <w:name w:val="Overskrift 1 Tegn"/>
    <w:basedOn w:val="Standardskrifttypeiafsnit"/>
    <w:link w:val="Overskrift1"/>
    <w:uiPriority w:val="9"/>
    <w:rsid w:val="0083452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4205A1"/>
    <w:pPr>
      <w:ind w:left="720"/>
      <w:contextualSpacing/>
    </w:pPr>
  </w:style>
  <w:style w:type="paragraph" w:styleId="Billedtekst">
    <w:name w:val="caption"/>
    <w:basedOn w:val="Normal"/>
    <w:next w:val="Normal"/>
    <w:uiPriority w:val="35"/>
    <w:unhideWhenUsed/>
    <w:qFormat/>
    <w:rsid w:val="00A00971"/>
    <w:pPr>
      <w:spacing w:line="240" w:lineRule="auto"/>
    </w:pPr>
    <w:rPr>
      <w:b/>
      <w:bCs/>
      <w:color w:val="4F81BD" w:themeColor="accent1"/>
      <w:sz w:val="18"/>
      <w:szCs w:val="18"/>
    </w:rPr>
  </w:style>
  <w:style w:type="paragraph" w:styleId="Ingenafstand">
    <w:name w:val="No Spacing"/>
    <w:uiPriority w:val="1"/>
    <w:qFormat/>
    <w:rsid w:val="002E589E"/>
    <w:pPr>
      <w:spacing w:after="0" w:line="240" w:lineRule="auto"/>
    </w:pPr>
  </w:style>
  <w:style w:type="character" w:customStyle="1" w:styleId="Overskrift4Tegn">
    <w:name w:val="Overskrift 4 Tegn"/>
    <w:basedOn w:val="Standardskrifttypeiafsnit"/>
    <w:link w:val="Overskrift4"/>
    <w:uiPriority w:val="9"/>
    <w:rsid w:val="00E67BC9"/>
    <w:rPr>
      <w:rFonts w:asciiTheme="majorHAnsi" w:eastAsiaTheme="majorEastAsia" w:hAnsiTheme="majorHAnsi" w:cstheme="majorBidi"/>
      <w:b/>
      <w:bCs/>
      <w:i/>
      <w:iCs/>
      <w:color w:val="4F81BD" w:themeColor="accent1"/>
    </w:rPr>
  </w:style>
  <w:style w:type="paragraph" w:styleId="Markeringsbobletekst">
    <w:name w:val="Balloon Text"/>
    <w:basedOn w:val="Normal"/>
    <w:link w:val="MarkeringsbobletekstTegn"/>
    <w:uiPriority w:val="99"/>
    <w:semiHidden/>
    <w:unhideWhenUsed/>
    <w:rsid w:val="00F11BC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11BC3"/>
    <w:rPr>
      <w:rFonts w:ascii="Tahoma" w:hAnsi="Tahoma" w:cs="Tahoma"/>
      <w:sz w:val="16"/>
      <w:szCs w:val="16"/>
    </w:rPr>
  </w:style>
  <w:style w:type="paragraph" w:styleId="Sidehoved">
    <w:name w:val="header"/>
    <w:basedOn w:val="Normal"/>
    <w:link w:val="SidehovedTegn"/>
    <w:uiPriority w:val="99"/>
    <w:unhideWhenUsed/>
    <w:rsid w:val="0043586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5861"/>
  </w:style>
  <w:style w:type="paragraph" w:styleId="Sidefod">
    <w:name w:val="footer"/>
    <w:basedOn w:val="Normal"/>
    <w:link w:val="SidefodTegn"/>
    <w:uiPriority w:val="99"/>
    <w:unhideWhenUsed/>
    <w:rsid w:val="0043586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5861"/>
  </w:style>
  <w:style w:type="paragraph" w:styleId="Overskrift">
    <w:name w:val="TOC Heading"/>
    <w:basedOn w:val="Overskrift1"/>
    <w:next w:val="Normal"/>
    <w:uiPriority w:val="39"/>
    <w:unhideWhenUsed/>
    <w:qFormat/>
    <w:rsid w:val="00DD14C2"/>
    <w:pPr>
      <w:outlineLvl w:val="9"/>
    </w:pPr>
    <w:rPr>
      <w:lang w:eastAsia="da-DK"/>
    </w:rPr>
  </w:style>
  <w:style w:type="paragraph" w:styleId="Indholdsfortegnelse1">
    <w:name w:val="toc 1"/>
    <w:basedOn w:val="Normal"/>
    <w:next w:val="Normal"/>
    <w:autoRedefine/>
    <w:uiPriority w:val="39"/>
    <w:unhideWhenUsed/>
    <w:rsid w:val="0061310B"/>
    <w:pPr>
      <w:tabs>
        <w:tab w:val="right" w:leader="dot" w:pos="8097"/>
      </w:tabs>
      <w:spacing w:after="100"/>
    </w:pPr>
    <w:rPr>
      <w:rFonts w:ascii="Corbel" w:hAnsi="Corbel"/>
      <w:b/>
    </w:rPr>
  </w:style>
  <w:style w:type="paragraph" w:styleId="Indholdsfortegnelse2">
    <w:name w:val="toc 2"/>
    <w:basedOn w:val="Normal"/>
    <w:next w:val="Normal"/>
    <w:autoRedefine/>
    <w:uiPriority w:val="39"/>
    <w:unhideWhenUsed/>
    <w:rsid w:val="00DD14C2"/>
    <w:pPr>
      <w:spacing w:after="100"/>
      <w:ind w:left="220"/>
    </w:pPr>
  </w:style>
  <w:style w:type="character" w:styleId="Hyperlink">
    <w:name w:val="Hyperlink"/>
    <w:basedOn w:val="Standardskrifttypeiafsnit"/>
    <w:uiPriority w:val="99"/>
    <w:unhideWhenUsed/>
    <w:rsid w:val="00DD14C2"/>
    <w:rPr>
      <w:color w:val="0000FF" w:themeColor="hyperlink"/>
      <w:u w:val="single"/>
    </w:rPr>
  </w:style>
  <w:style w:type="paragraph" w:styleId="Opstilling-punkttegn">
    <w:name w:val="List Bullet"/>
    <w:basedOn w:val="Normal"/>
    <w:uiPriority w:val="99"/>
    <w:unhideWhenUsed/>
    <w:rsid w:val="00B261AB"/>
    <w:pPr>
      <w:contextualSpacing/>
    </w:pPr>
  </w:style>
  <w:style w:type="paragraph" w:styleId="Indholdsfortegnelse4">
    <w:name w:val="toc 4"/>
    <w:basedOn w:val="Normal"/>
    <w:next w:val="Normal"/>
    <w:autoRedefine/>
    <w:uiPriority w:val="39"/>
    <w:unhideWhenUsed/>
    <w:rsid w:val="00C9256F"/>
    <w:pPr>
      <w:spacing w:after="100"/>
      <w:ind w:left="660"/>
    </w:pPr>
  </w:style>
  <w:style w:type="character" w:styleId="Kommentarhenvisning">
    <w:name w:val="annotation reference"/>
    <w:basedOn w:val="Standardskrifttypeiafsnit"/>
    <w:uiPriority w:val="99"/>
    <w:semiHidden/>
    <w:unhideWhenUsed/>
    <w:rsid w:val="00A060D5"/>
    <w:rPr>
      <w:sz w:val="16"/>
      <w:szCs w:val="16"/>
    </w:rPr>
  </w:style>
  <w:style w:type="paragraph" w:styleId="Kommentartekst">
    <w:name w:val="annotation text"/>
    <w:basedOn w:val="Normal"/>
    <w:link w:val="KommentartekstTegn"/>
    <w:uiPriority w:val="99"/>
    <w:semiHidden/>
    <w:unhideWhenUsed/>
    <w:rsid w:val="00A060D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060D5"/>
    <w:rPr>
      <w:sz w:val="20"/>
      <w:szCs w:val="20"/>
    </w:rPr>
  </w:style>
  <w:style w:type="paragraph" w:styleId="Kommentaremne">
    <w:name w:val="annotation subject"/>
    <w:basedOn w:val="Kommentartekst"/>
    <w:next w:val="Kommentartekst"/>
    <w:link w:val="KommentaremneTegn"/>
    <w:uiPriority w:val="99"/>
    <w:semiHidden/>
    <w:unhideWhenUsed/>
    <w:rsid w:val="00A060D5"/>
    <w:rPr>
      <w:b/>
      <w:bCs/>
    </w:rPr>
  </w:style>
  <w:style w:type="character" w:customStyle="1" w:styleId="KommentaremneTegn">
    <w:name w:val="Kommentaremne Tegn"/>
    <w:basedOn w:val="KommentartekstTegn"/>
    <w:link w:val="Kommentaremne"/>
    <w:uiPriority w:val="99"/>
    <w:semiHidden/>
    <w:rsid w:val="00A060D5"/>
    <w:rPr>
      <w:b/>
      <w:bCs/>
      <w:sz w:val="20"/>
      <w:szCs w:val="20"/>
    </w:rPr>
  </w:style>
  <w:style w:type="paragraph" w:styleId="Korrektur">
    <w:name w:val="Revision"/>
    <w:hidden/>
    <w:uiPriority w:val="99"/>
    <w:semiHidden/>
    <w:rsid w:val="00102372"/>
    <w:pPr>
      <w:spacing w:after="0" w:line="240" w:lineRule="auto"/>
    </w:pPr>
  </w:style>
  <w:style w:type="paragraph" w:styleId="NormalWeb">
    <w:name w:val="Normal (Web)"/>
    <w:basedOn w:val="Normal"/>
    <w:uiPriority w:val="99"/>
    <w:semiHidden/>
    <w:unhideWhenUsed/>
    <w:rsid w:val="00BF6D9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dholdsfortegnelse3">
    <w:name w:val="toc 3"/>
    <w:basedOn w:val="Normal"/>
    <w:next w:val="Normal"/>
    <w:autoRedefine/>
    <w:uiPriority w:val="39"/>
    <w:unhideWhenUsed/>
    <w:rsid w:val="00621842"/>
    <w:pPr>
      <w:spacing w:after="100"/>
      <w:ind w:left="440"/>
    </w:pPr>
  </w:style>
  <w:style w:type="paragraph" w:customStyle="1" w:styleId="Default">
    <w:name w:val="Default"/>
    <w:rsid w:val="00B840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9035">
      <w:bodyDiv w:val="1"/>
      <w:marLeft w:val="0"/>
      <w:marRight w:val="0"/>
      <w:marTop w:val="0"/>
      <w:marBottom w:val="0"/>
      <w:divBdr>
        <w:top w:val="none" w:sz="0" w:space="0" w:color="auto"/>
        <w:left w:val="none" w:sz="0" w:space="0" w:color="auto"/>
        <w:bottom w:val="none" w:sz="0" w:space="0" w:color="auto"/>
        <w:right w:val="none" w:sz="0" w:space="0" w:color="auto"/>
      </w:divBdr>
    </w:div>
    <w:div w:id="1425570472">
      <w:bodyDiv w:val="1"/>
      <w:marLeft w:val="0"/>
      <w:marRight w:val="0"/>
      <w:marTop w:val="0"/>
      <w:marBottom w:val="0"/>
      <w:divBdr>
        <w:top w:val="none" w:sz="0" w:space="0" w:color="auto"/>
        <w:left w:val="none" w:sz="0" w:space="0" w:color="auto"/>
        <w:bottom w:val="none" w:sz="0" w:space="0" w:color="auto"/>
        <w:right w:val="none" w:sz="0" w:space="0" w:color="auto"/>
      </w:divBdr>
    </w:div>
    <w:div w:id="15144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NemLog-in3</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EAEXP2DD475P-1149199250-4504116</_dlc_DocId>
    <_dlc_DocIdUrl xmlns="8f557624-d6a7-40e5-a06f-ebe44359847b">
      <Url>https://erstdk.sharepoint.com/teams/share/_layouts/15/DocIdRedir.aspx?ID=EAEXP2DD475P-1149199250-4504116</Url>
      <Description>EAEXP2DD475P-1149199250-4504116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45934D-3C77-4DB8-A9B6-BD634E44D2AC}">
  <ds:schemaRefs>
    <ds:schemaRef ds:uri="http://schemas.microsoft.com/sharepoint/events"/>
  </ds:schemaRefs>
</ds:datastoreItem>
</file>

<file path=customXml/itemProps3.xml><?xml version="1.0" encoding="utf-8"?>
<ds:datastoreItem xmlns:ds="http://schemas.openxmlformats.org/officeDocument/2006/customXml" ds:itemID="{B8ED892B-81AE-4F28-9786-666DFF82AAF1}">
  <ds:schemaRefs>
    <ds:schemaRef ds:uri="http://schemas.microsoft.com/office/2006/metadata/properties"/>
    <ds:schemaRef ds:uri="http://schemas.microsoft.com/office/infopath/2007/PartnerControls"/>
    <ds:schemaRef ds:uri="8f557624-d6a7-40e5-a06f-ebe44359847b"/>
  </ds:schemaRefs>
</ds:datastoreItem>
</file>

<file path=customXml/itemProps4.xml><?xml version="1.0" encoding="utf-8"?>
<ds:datastoreItem xmlns:ds="http://schemas.openxmlformats.org/officeDocument/2006/customXml" ds:itemID="{9443C3EE-B07B-445C-959E-54F414ACDDF9}">
  <ds:schemaRefs>
    <ds:schemaRef ds:uri="http://schemas.microsoft.com/sharepoint/v3/contenttype/forms"/>
  </ds:schemaRefs>
</ds:datastoreItem>
</file>

<file path=customXml/itemProps5.xml><?xml version="1.0" encoding="utf-8"?>
<ds:datastoreItem xmlns:ds="http://schemas.openxmlformats.org/officeDocument/2006/customXml" ds:itemID="{F392D3D8-D58B-4B32-8824-A437E970C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EAED28-C479-4317-81E8-C154E479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1069</Words>
  <Characters>6524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Kirkeby Danneskiold-Samsøe</dc:creator>
  <cp:keywords/>
  <cp:lastModifiedBy>Anna Louise Madsen</cp:lastModifiedBy>
  <cp:revision>3</cp:revision>
  <cp:lastPrinted>2016-11-08T16:04:00Z</cp:lastPrinted>
  <dcterms:created xsi:type="dcterms:W3CDTF">2019-12-03T14:59:00Z</dcterms:created>
  <dcterms:modified xsi:type="dcterms:W3CDTF">2019-12-03T15:02:00Z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Visible">
    <vt:lpwstr>True</vt:lpwstr>
  </property>
  <property fmtid="{D5CDD505-2E9C-101B-9397-08002B2CF9AE}" pid="3" name="ContentRemapped">
    <vt:lpwstr>true</vt:lpwstr>
  </property>
  <property fmtid="{D5CDD505-2E9C-101B-9397-08002B2CF9AE}" pid="4" name="_dlc_policyId">
    <vt:lpwstr>/teams/share/data</vt:lpwstr>
  </property>
  <property fmtid="{D5CDD505-2E9C-101B-9397-08002B2CF9AE}" pid="5" name="ContentTypeId">
    <vt:lpwstr>0x01010028823DAD65BFDC47A3186F100C863B32</vt:lpwstr>
  </property>
  <property fmtid="{D5CDD505-2E9C-101B-9397-08002B2CF9AE}" pid="6" name="ItemRetentionFormula">
    <vt:lpwstr/>
  </property>
  <property fmtid="{D5CDD505-2E9C-101B-9397-08002B2CF9AE}" pid="7" name="_dlc_DocIdItemGuid">
    <vt:lpwstr>60c87ebb-493d-4cd5-b69a-87a6e2bf023a</vt:lpwstr>
  </property>
</Properties>
</file>