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0E2B1" w14:textId="77777777" w:rsidR="007B6E2E" w:rsidRDefault="007B6E2E">
      <w:bookmarkStart w:id="0" w:name="_GoBack"/>
      <w:bookmarkEnd w:id="0"/>
    </w:p>
    <w:p w14:paraId="7CA55665" w14:textId="77777777" w:rsidR="007B6E2E" w:rsidRDefault="007B6E2E"/>
    <w:p w14:paraId="6DF06670" w14:textId="77777777" w:rsidR="007B6E2E" w:rsidRDefault="007B6E2E"/>
    <w:p w14:paraId="3A96B95E" w14:textId="77777777" w:rsidR="007B6E2E" w:rsidRDefault="00E80DA7">
      <w:pPr>
        <w:pStyle w:val="Overskrift1"/>
        <w:keepNext w:val="0"/>
        <w:keepLines w:val="0"/>
        <w:spacing w:before="480"/>
        <w:rPr>
          <w:b/>
          <w:i/>
          <w:sz w:val="46"/>
          <w:szCs w:val="46"/>
        </w:rPr>
      </w:pPr>
      <w:bookmarkStart w:id="1" w:name="_gjdgxs" w:colFirst="0" w:colLast="0"/>
      <w:bookmarkStart w:id="2" w:name="_Toc11934797"/>
      <w:bookmarkEnd w:id="1"/>
      <w:r>
        <w:rPr>
          <w:b/>
          <w:i/>
          <w:sz w:val="46"/>
          <w:szCs w:val="46"/>
        </w:rPr>
        <w:t>Styregruppen for data og arkitektur</w:t>
      </w:r>
      <w:bookmarkEnd w:id="2"/>
    </w:p>
    <w:p w14:paraId="43522D88" w14:textId="77777777" w:rsidR="007B6E2E" w:rsidRDefault="00E80DA7">
      <w:pPr>
        <w:pStyle w:val="Overskrift1"/>
        <w:keepNext w:val="0"/>
        <w:keepLines w:val="0"/>
        <w:spacing w:before="480"/>
        <w:rPr>
          <w:b/>
          <w:sz w:val="46"/>
          <w:szCs w:val="46"/>
        </w:rPr>
      </w:pPr>
      <w:bookmarkStart w:id="3" w:name="_30j0zll" w:colFirst="0" w:colLast="0"/>
      <w:bookmarkStart w:id="4" w:name="_Toc11934798"/>
      <w:bookmarkEnd w:id="3"/>
      <w:proofErr w:type="spellStart"/>
      <w:r>
        <w:rPr>
          <w:b/>
          <w:sz w:val="46"/>
          <w:szCs w:val="46"/>
        </w:rPr>
        <w:t>Reviewrapport</w:t>
      </w:r>
      <w:proofErr w:type="spellEnd"/>
      <w:r>
        <w:rPr>
          <w:b/>
          <w:sz w:val="46"/>
          <w:szCs w:val="46"/>
        </w:rPr>
        <w:t xml:space="preserve"> for: </w:t>
      </w:r>
      <w:r>
        <w:rPr>
          <w:b/>
          <w:sz w:val="46"/>
          <w:szCs w:val="46"/>
        </w:rPr>
        <w:br/>
      </w:r>
      <w:r w:rsidR="00C25C3A">
        <w:rPr>
          <w:b/>
          <w:sz w:val="46"/>
          <w:szCs w:val="46"/>
        </w:rPr>
        <w:t xml:space="preserve">Initiativ </w:t>
      </w:r>
      <w:r w:rsidR="003A22E8">
        <w:rPr>
          <w:b/>
          <w:sz w:val="46"/>
          <w:szCs w:val="46"/>
        </w:rPr>
        <w:t>1</w:t>
      </w:r>
      <w:r w:rsidR="00C25C3A">
        <w:rPr>
          <w:b/>
          <w:sz w:val="46"/>
          <w:szCs w:val="46"/>
        </w:rPr>
        <w:t>.</w:t>
      </w:r>
      <w:r w:rsidR="003A22E8">
        <w:rPr>
          <w:b/>
          <w:sz w:val="46"/>
          <w:szCs w:val="46"/>
        </w:rPr>
        <w:t>1</w:t>
      </w:r>
      <w:r w:rsidR="002A4E29" w:rsidRPr="002A4E29">
        <w:rPr>
          <w:b/>
          <w:sz w:val="46"/>
          <w:szCs w:val="46"/>
        </w:rPr>
        <w:t xml:space="preserve"> </w:t>
      </w:r>
      <w:r w:rsidR="003A22E8">
        <w:rPr>
          <w:b/>
          <w:sz w:val="46"/>
          <w:szCs w:val="46"/>
        </w:rPr>
        <w:t>Mere sammenhængende brugerrejser</w:t>
      </w:r>
      <w:bookmarkEnd w:id="4"/>
    </w:p>
    <w:p w14:paraId="42A980D7" w14:textId="77777777" w:rsidR="007B6E2E" w:rsidRDefault="007B6E2E"/>
    <w:p w14:paraId="7BC0880D" w14:textId="77777777" w:rsidR="007B6E2E" w:rsidRDefault="003A22E8">
      <w:r>
        <w:t>07</w:t>
      </w:r>
      <w:r w:rsidR="00E80DA7">
        <w:t xml:space="preserve">. </w:t>
      </w:r>
      <w:r>
        <w:t>juni</w:t>
      </w:r>
      <w:r w:rsidR="00D0758E">
        <w:t xml:space="preserve"> 2019</w:t>
      </w:r>
    </w:p>
    <w:p w14:paraId="243053A9" w14:textId="77777777" w:rsidR="007B6E2E" w:rsidRDefault="007B6E2E"/>
    <w:p w14:paraId="6D063476" w14:textId="77777777" w:rsidR="007B6E2E" w:rsidRDefault="007B6E2E"/>
    <w:p w14:paraId="22178A4E" w14:textId="77777777" w:rsidR="007B6E2E" w:rsidRDefault="007B6E2E"/>
    <w:p w14:paraId="7C219A7D" w14:textId="77777777" w:rsidR="007B6E2E" w:rsidRDefault="00E80DA7">
      <w:pPr>
        <w:keepNext/>
        <w:keepLines/>
        <w:pBdr>
          <w:top w:val="nil"/>
          <w:left w:val="nil"/>
          <w:bottom w:val="nil"/>
          <w:right w:val="nil"/>
          <w:between w:val="nil"/>
        </w:pBdr>
        <w:spacing w:before="480" w:after="0" w:line="264" w:lineRule="auto"/>
        <w:rPr>
          <w:rFonts w:ascii="Cambria" w:eastAsia="Cambria" w:hAnsi="Cambria" w:cs="Cambria"/>
          <w:b/>
          <w:color w:val="1F497D"/>
          <w:sz w:val="32"/>
          <w:szCs w:val="32"/>
        </w:rPr>
      </w:pPr>
      <w:r>
        <w:rPr>
          <w:rFonts w:ascii="Cambria" w:eastAsia="Cambria" w:hAnsi="Cambria" w:cs="Cambria"/>
          <w:b/>
          <w:color w:val="1F497D"/>
          <w:sz w:val="32"/>
          <w:szCs w:val="32"/>
        </w:rPr>
        <w:t>Indhold</w:t>
      </w:r>
    </w:p>
    <w:sdt>
      <w:sdtPr>
        <w:id w:val="-1836066097"/>
        <w:docPartObj>
          <w:docPartGallery w:val="Table of Contents"/>
          <w:docPartUnique/>
        </w:docPartObj>
      </w:sdtPr>
      <w:sdtEndPr/>
      <w:sdtContent>
        <w:p w14:paraId="3A4226EA" w14:textId="59A6F097" w:rsidR="004D0A05" w:rsidRDefault="00E80DA7">
          <w:pPr>
            <w:pStyle w:val="Indholdsfortegnelse1"/>
            <w:tabs>
              <w:tab w:val="right" w:pos="9019"/>
            </w:tabs>
            <w:rPr>
              <w:rFonts w:asciiTheme="minorHAnsi" w:eastAsiaTheme="minorEastAsia" w:hAnsiTheme="minorHAnsi" w:cstheme="minorBidi"/>
              <w:noProof/>
            </w:rPr>
          </w:pPr>
          <w:r>
            <w:fldChar w:fldCharType="begin"/>
          </w:r>
          <w:r>
            <w:instrText xml:space="preserve"> TOC \h \u \z </w:instrText>
          </w:r>
          <w:r>
            <w:fldChar w:fldCharType="separate"/>
          </w:r>
          <w:hyperlink w:anchor="_Toc11934797" w:history="1">
            <w:r w:rsidR="004D0A05" w:rsidRPr="006C49C5">
              <w:rPr>
                <w:rStyle w:val="Hyperlink"/>
                <w:b/>
                <w:i/>
                <w:noProof/>
              </w:rPr>
              <w:t>Styregruppen for data og arkitektur</w:t>
            </w:r>
            <w:r w:rsidR="004D0A05">
              <w:rPr>
                <w:noProof/>
                <w:webHidden/>
              </w:rPr>
              <w:tab/>
            </w:r>
            <w:r w:rsidR="004D0A05">
              <w:rPr>
                <w:noProof/>
                <w:webHidden/>
              </w:rPr>
              <w:fldChar w:fldCharType="begin"/>
            </w:r>
            <w:r w:rsidR="004D0A05">
              <w:rPr>
                <w:noProof/>
                <w:webHidden/>
              </w:rPr>
              <w:instrText xml:space="preserve"> PAGEREF _Toc11934797 \h </w:instrText>
            </w:r>
            <w:r w:rsidR="004D0A05">
              <w:rPr>
                <w:noProof/>
                <w:webHidden/>
              </w:rPr>
            </w:r>
            <w:r w:rsidR="004D0A05">
              <w:rPr>
                <w:noProof/>
                <w:webHidden/>
              </w:rPr>
              <w:fldChar w:fldCharType="separate"/>
            </w:r>
            <w:r w:rsidR="004D0A05">
              <w:rPr>
                <w:noProof/>
                <w:webHidden/>
              </w:rPr>
              <w:t>1</w:t>
            </w:r>
            <w:r w:rsidR="004D0A05">
              <w:rPr>
                <w:noProof/>
                <w:webHidden/>
              </w:rPr>
              <w:fldChar w:fldCharType="end"/>
            </w:r>
          </w:hyperlink>
        </w:p>
        <w:p w14:paraId="16DBC1D7" w14:textId="68440246" w:rsidR="004D0A05" w:rsidRDefault="00B9246C">
          <w:pPr>
            <w:pStyle w:val="Indholdsfortegnelse1"/>
            <w:tabs>
              <w:tab w:val="right" w:pos="9019"/>
            </w:tabs>
            <w:rPr>
              <w:rFonts w:asciiTheme="minorHAnsi" w:eastAsiaTheme="minorEastAsia" w:hAnsiTheme="minorHAnsi" w:cstheme="minorBidi"/>
              <w:noProof/>
            </w:rPr>
          </w:pPr>
          <w:hyperlink w:anchor="_Toc11934798" w:history="1">
            <w:r w:rsidR="004D0A05" w:rsidRPr="006C49C5">
              <w:rPr>
                <w:rStyle w:val="Hyperlink"/>
                <w:b/>
                <w:noProof/>
              </w:rPr>
              <w:t>Reviewrapport for:  Initiativ 1.1 Mere sammenhængende brugerrejser</w:t>
            </w:r>
            <w:r w:rsidR="004D0A05">
              <w:rPr>
                <w:noProof/>
                <w:webHidden/>
              </w:rPr>
              <w:tab/>
            </w:r>
            <w:r w:rsidR="004D0A05">
              <w:rPr>
                <w:noProof/>
                <w:webHidden/>
              </w:rPr>
              <w:fldChar w:fldCharType="begin"/>
            </w:r>
            <w:r w:rsidR="004D0A05">
              <w:rPr>
                <w:noProof/>
                <w:webHidden/>
              </w:rPr>
              <w:instrText xml:space="preserve"> PAGEREF _Toc11934798 \h </w:instrText>
            </w:r>
            <w:r w:rsidR="004D0A05">
              <w:rPr>
                <w:noProof/>
                <w:webHidden/>
              </w:rPr>
            </w:r>
            <w:r w:rsidR="004D0A05">
              <w:rPr>
                <w:noProof/>
                <w:webHidden/>
              </w:rPr>
              <w:fldChar w:fldCharType="separate"/>
            </w:r>
            <w:r w:rsidR="004D0A05">
              <w:rPr>
                <w:noProof/>
                <w:webHidden/>
              </w:rPr>
              <w:t>1</w:t>
            </w:r>
            <w:r w:rsidR="004D0A05">
              <w:rPr>
                <w:noProof/>
                <w:webHidden/>
              </w:rPr>
              <w:fldChar w:fldCharType="end"/>
            </w:r>
          </w:hyperlink>
        </w:p>
        <w:p w14:paraId="07A81EFD" w14:textId="356AC6D7" w:rsidR="004D0A05" w:rsidRDefault="00B9246C">
          <w:pPr>
            <w:pStyle w:val="Indholdsfortegnelse1"/>
            <w:tabs>
              <w:tab w:val="right" w:pos="9019"/>
            </w:tabs>
            <w:rPr>
              <w:rFonts w:asciiTheme="minorHAnsi" w:eastAsiaTheme="minorEastAsia" w:hAnsiTheme="minorHAnsi" w:cstheme="minorBidi"/>
              <w:noProof/>
            </w:rPr>
          </w:pPr>
          <w:hyperlink w:anchor="_Toc11934799" w:history="1">
            <w:r w:rsidR="004D0A05" w:rsidRPr="006C49C5">
              <w:rPr>
                <w:rStyle w:val="Hyperlink"/>
                <w:noProof/>
              </w:rPr>
              <w:t>Initiativ 1.1 Mere sammenhængende brugerrejser</w:t>
            </w:r>
            <w:r w:rsidR="004D0A05">
              <w:rPr>
                <w:noProof/>
                <w:webHidden/>
              </w:rPr>
              <w:tab/>
            </w:r>
            <w:r w:rsidR="004D0A05">
              <w:rPr>
                <w:noProof/>
                <w:webHidden/>
              </w:rPr>
              <w:fldChar w:fldCharType="begin"/>
            </w:r>
            <w:r w:rsidR="004D0A05">
              <w:rPr>
                <w:noProof/>
                <w:webHidden/>
              </w:rPr>
              <w:instrText xml:space="preserve"> PAGEREF _Toc11934799 \h </w:instrText>
            </w:r>
            <w:r w:rsidR="004D0A05">
              <w:rPr>
                <w:noProof/>
                <w:webHidden/>
              </w:rPr>
            </w:r>
            <w:r w:rsidR="004D0A05">
              <w:rPr>
                <w:noProof/>
                <w:webHidden/>
              </w:rPr>
              <w:fldChar w:fldCharType="separate"/>
            </w:r>
            <w:r w:rsidR="004D0A05">
              <w:rPr>
                <w:noProof/>
                <w:webHidden/>
              </w:rPr>
              <w:t>2</w:t>
            </w:r>
            <w:r w:rsidR="004D0A05">
              <w:rPr>
                <w:noProof/>
                <w:webHidden/>
              </w:rPr>
              <w:fldChar w:fldCharType="end"/>
            </w:r>
          </w:hyperlink>
        </w:p>
        <w:p w14:paraId="57B98722" w14:textId="3D272721" w:rsidR="004D0A05" w:rsidRDefault="00B9246C">
          <w:pPr>
            <w:pStyle w:val="Indholdsfortegnelse1"/>
            <w:tabs>
              <w:tab w:val="right" w:pos="9019"/>
            </w:tabs>
            <w:rPr>
              <w:rFonts w:asciiTheme="minorHAnsi" w:eastAsiaTheme="minorEastAsia" w:hAnsiTheme="minorHAnsi" w:cstheme="minorBidi"/>
              <w:noProof/>
            </w:rPr>
          </w:pPr>
          <w:hyperlink w:anchor="_Toc11934800" w:history="1">
            <w:r w:rsidR="004D0A05" w:rsidRPr="006C49C5">
              <w:rPr>
                <w:rStyle w:val="Hyperlink"/>
                <w:noProof/>
              </w:rPr>
              <w:t>Projektresume</w:t>
            </w:r>
            <w:r w:rsidR="004D0A05">
              <w:rPr>
                <w:noProof/>
                <w:webHidden/>
              </w:rPr>
              <w:tab/>
            </w:r>
            <w:r w:rsidR="004D0A05">
              <w:rPr>
                <w:noProof/>
                <w:webHidden/>
              </w:rPr>
              <w:fldChar w:fldCharType="begin"/>
            </w:r>
            <w:r w:rsidR="004D0A05">
              <w:rPr>
                <w:noProof/>
                <w:webHidden/>
              </w:rPr>
              <w:instrText xml:space="preserve"> PAGEREF _Toc11934800 \h </w:instrText>
            </w:r>
            <w:r w:rsidR="004D0A05">
              <w:rPr>
                <w:noProof/>
                <w:webHidden/>
              </w:rPr>
            </w:r>
            <w:r w:rsidR="004D0A05">
              <w:rPr>
                <w:noProof/>
                <w:webHidden/>
              </w:rPr>
              <w:fldChar w:fldCharType="separate"/>
            </w:r>
            <w:r w:rsidR="004D0A05">
              <w:rPr>
                <w:noProof/>
                <w:webHidden/>
              </w:rPr>
              <w:t>2</w:t>
            </w:r>
            <w:r w:rsidR="004D0A05">
              <w:rPr>
                <w:noProof/>
                <w:webHidden/>
              </w:rPr>
              <w:fldChar w:fldCharType="end"/>
            </w:r>
          </w:hyperlink>
        </w:p>
        <w:p w14:paraId="0381F82D" w14:textId="3DE71151" w:rsidR="004D0A05" w:rsidRDefault="00B9246C">
          <w:pPr>
            <w:pStyle w:val="Indholdsfortegnelse1"/>
            <w:tabs>
              <w:tab w:val="right" w:pos="9019"/>
            </w:tabs>
            <w:rPr>
              <w:rFonts w:asciiTheme="minorHAnsi" w:eastAsiaTheme="minorEastAsia" w:hAnsiTheme="minorHAnsi" w:cstheme="minorBidi"/>
              <w:noProof/>
            </w:rPr>
          </w:pPr>
          <w:hyperlink w:anchor="_Toc11934801" w:history="1">
            <w:r w:rsidR="004D0A05" w:rsidRPr="006C49C5">
              <w:rPr>
                <w:rStyle w:val="Hyperlink"/>
                <w:noProof/>
              </w:rPr>
              <w:t>Anbefalinger</w:t>
            </w:r>
            <w:r w:rsidR="004D0A05">
              <w:rPr>
                <w:noProof/>
                <w:webHidden/>
              </w:rPr>
              <w:tab/>
            </w:r>
            <w:r w:rsidR="004D0A05">
              <w:rPr>
                <w:noProof/>
                <w:webHidden/>
              </w:rPr>
              <w:fldChar w:fldCharType="begin"/>
            </w:r>
            <w:r w:rsidR="004D0A05">
              <w:rPr>
                <w:noProof/>
                <w:webHidden/>
              </w:rPr>
              <w:instrText xml:space="preserve"> PAGEREF _Toc11934801 \h </w:instrText>
            </w:r>
            <w:r w:rsidR="004D0A05">
              <w:rPr>
                <w:noProof/>
                <w:webHidden/>
              </w:rPr>
            </w:r>
            <w:r w:rsidR="004D0A05">
              <w:rPr>
                <w:noProof/>
                <w:webHidden/>
              </w:rPr>
              <w:fldChar w:fldCharType="separate"/>
            </w:r>
            <w:r w:rsidR="004D0A05">
              <w:rPr>
                <w:noProof/>
                <w:webHidden/>
              </w:rPr>
              <w:t>3</w:t>
            </w:r>
            <w:r w:rsidR="004D0A05">
              <w:rPr>
                <w:noProof/>
                <w:webHidden/>
              </w:rPr>
              <w:fldChar w:fldCharType="end"/>
            </w:r>
          </w:hyperlink>
        </w:p>
        <w:p w14:paraId="2C1A7B24" w14:textId="08C69D64" w:rsidR="004D0A05" w:rsidRDefault="00B9246C">
          <w:pPr>
            <w:pStyle w:val="Indholdsfortegnelse2"/>
            <w:tabs>
              <w:tab w:val="right" w:pos="9019"/>
            </w:tabs>
            <w:rPr>
              <w:rFonts w:asciiTheme="minorHAnsi" w:eastAsiaTheme="minorEastAsia" w:hAnsiTheme="minorHAnsi" w:cstheme="minorBidi"/>
              <w:noProof/>
            </w:rPr>
          </w:pPr>
          <w:hyperlink w:anchor="_Toc11934802" w:history="1">
            <w:r w:rsidR="004D0A05" w:rsidRPr="006C49C5">
              <w:rPr>
                <w:rStyle w:val="Hyperlink"/>
                <w:noProof/>
              </w:rPr>
              <w:t>Anbefalinger til det nuværende projekt</w:t>
            </w:r>
            <w:r w:rsidR="004D0A05">
              <w:rPr>
                <w:noProof/>
                <w:webHidden/>
              </w:rPr>
              <w:tab/>
            </w:r>
            <w:r w:rsidR="004D0A05">
              <w:rPr>
                <w:noProof/>
                <w:webHidden/>
              </w:rPr>
              <w:fldChar w:fldCharType="begin"/>
            </w:r>
            <w:r w:rsidR="004D0A05">
              <w:rPr>
                <w:noProof/>
                <w:webHidden/>
              </w:rPr>
              <w:instrText xml:space="preserve"> PAGEREF _Toc11934802 \h </w:instrText>
            </w:r>
            <w:r w:rsidR="004D0A05">
              <w:rPr>
                <w:noProof/>
                <w:webHidden/>
              </w:rPr>
            </w:r>
            <w:r w:rsidR="004D0A05">
              <w:rPr>
                <w:noProof/>
                <w:webHidden/>
              </w:rPr>
              <w:fldChar w:fldCharType="separate"/>
            </w:r>
            <w:r w:rsidR="004D0A05">
              <w:rPr>
                <w:noProof/>
                <w:webHidden/>
              </w:rPr>
              <w:t>3</w:t>
            </w:r>
            <w:r w:rsidR="004D0A05">
              <w:rPr>
                <w:noProof/>
                <w:webHidden/>
              </w:rPr>
              <w:fldChar w:fldCharType="end"/>
            </w:r>
          </w:hyperlink>
        </w:p>
        <w:p w14:paraId="0EF2CEAD" w14:textId="7DEF2E08" w:rsidR="004D0A05" w:rsidRDefault="00B9246C">
          <w:pPr>
            <w:pStyle w:val="Indholdsfortegnelse2"/>
            <w:tabs>
              <w:tab w:val="right" w:pos="9019"/>
            </w:tabs>
            <w:rPr>
              <w:rFonts w:asciiTheme="minorHAnsi" w:eastAsiaTheme="minorEastAsia" w:hAnsiTheme="minorHAnsi" w:cstheme="minorBidi"/>
              <w:noProof/>
            </w:rPr>
          </w:pPr>
          <w:hyperlink w:anchor="_Toc11934803" w:history="1">
            <w:r w:rsidR="004D0A05" w:rsidRPr="006C49C5">
              <w:rPr>
                <w:rStyle w:val="Hyperlink"/>
                <w:noProof/>
              </w:rPr>
              <w:t>Tværgående Anbefalinger</w:t>
            </w:r>
            <w:r w:rsidR="004D0A05">
              <w:rPr>
                <w:noProof/>
                <w:webHidden/>
              </w:rPr>
              <w:tab/>
            </w:r>
            <w:r w:rsidR="004D0A05">
              <w:rPr>
                <w:noProof/>
                <w:webHidden/>
              </w:rPr>
              <w:fldChar w:fldCharType="begin"/>
            </w:r>
            <w:r w:rsidR="004D0A05">
              <w:rPr>
                <w:noProof/>
                <w:webHidden/>
              </w:rPr>
              <w:instrText xml:space="preserve"> PAGEREF _Toc11934803 \h </w:instrText>
            </w:r>
            <w:r w:rsidR="004D0A05">
              <w:rPr>
                <w:noProof/>
                <w:webHidden/>
              </w:rPr>
            </w:r>
            <w:r w:rsidR="004D0A05">
              <w:rPr>
                <w:noProof/>
                <w:webHidden/>
              </w:rPr>
              <w:fldChar w:fldCharType="separate"/>
            </w:r>
            <w:r w:rsidR="004D0A05">
              <w:rPr>
                <w:noProof/>
                <w:webHidden/>
              </w:rPr>
              <w:t>5</w:t>
            </w:r>
            <w:r w:rsidR="004D0A05">
              <w:rPr>
                <w:noProof/>
                <w:webHidden/>
              </w:rPr>
              <w:fldChar w:fldCharType="end"/>
            </w:r>
          </w:hyperlink>
        </w:p>
        <w:p w14:paraId="37A8ACBF" w14:textId="3CC3AFF5" w:rsidR="007B6E2E" w:rsidRDefault="00E80DA7">
          <w:pPr>
            <w:tabs>
              <w:tab w:val="right" w:pos="9025"/>
            </w:tabs>
            <w:spacing w:before="60" w:after="80" w:line="240" w:lineRule="auto"/>
            <w:ind w:left="360"/>
          </w:pPr>
          <w:r>
            <w:fldChar w:fldCharType="end"/>
          </w:r>
        </w:p>
      </w:sdtContent>
    </w:sdt>
    <w:p w14:paraId="5CF7F84C" w14:textId="77777777" w:rsidR="007B6E2E" w:rsidRDefault="007B6E2E"/>
    <w:p w14:paraId="2FFD5E71" w14:textId="77777777" w:rsidR="007B6E2E" w:rsidRDefault="007B6E2E"/>
    <w:p w14:paraId="261CDEEF" w14:textId="77777777" w:rsidR="007B6E2E" w:rsidRDefault="007B6E2E"/>
    <w:p w14:paraId="3CA12E0C" w14:textId="77777777" w:rsidR="007B6E2E" w:rsidRDefault="00E80DA7">
      <w:bookmarkStart w:id="5" w:name="_1fob9te" w:colFirst="0" w:colLast="0"/>
      <w:bookmarkEnd w:id="5"/>
      <w:r>
        <w:br w:type="page"/>
      </w:r>
    </w:p>
    <w:p w14:paraId="0E70572E" w14:textId="77777777" w:rsidR="007B6E2E" w:rsidRDefault="006D004C">
      <w:pPr>
        <w:pStyle w:val="Overskrift1"/>
        <w:keepNext w:val="0"/>
        <w:keepLines w:val="0"/>
        <w:spacing w:after="80"/>
      </w:pPr>
      <w:bookmarkStart w:id="6" w:name="_3znysh7" w:colFirst="0" w:colLast="0"/>
      <w:bookmarkStart w:id="7" w:name="_Toc11934799"/>
      <w:bookmarkEnd w:id="6"/>
      <w:r>
        <w:lastRenderedPageBreak/>
        <w:t xml:space="preserve">Initiativ </w:t>
      </w:r>
      <w:r w:rsidR="003A22E8">
        <w:t>1</w:t>
      </w:r>
      <w:r>
        <w:t>.</w:t>
      </w:r>
      <w:r w:rsidR="003A22E8">
        <w:t>1</w:t>
      </w:r>
      <w:r w:rsidR="00F804E0">
        <w:t xml:space="preserve"> </w:t>
      </w:r>
      <w:r w:rsidR="003A22E8">
        <w:t>Mere sammenhængende brugerrejser</w:t>
      </w:r>
      <w:bookmarkEnd w:id="7"/>
    </w:p>
    <w:p w14:paraId="06CD4ADE" w14:textId="77777777" w:rsidR="007B6E2E" w:rsidRDefault="00E80DA7">
      <w:proofErr w:type="spellStart"/>
      <w:r>
        <w:t>Reviewet</w:t>
      </w:r>
      <w:proofErr w:type="spellEnd"/>
      <w:r>
        <w:t xml:space="preserve"> af </w:t>
      </w:r>
      <w:r w:rsidR="00F804E0" w:rsidRPr="00F804E0">
        <w:t xml:space="preserve">Initiativ </w:t>
      </w:r>
      <w:r w:rsidR="003A22E8">
        <w:t>1</w:t>
      </w:r>
      <w:r w:rsidR="009C2C1C">
        <w:t>.</w:t>
      </w:r>
      <w:r w:rsidR="003A22E8">
        <w:t>1</w:t>
      </w:r>
      <w:r w:rsidR="009C2C1C">
        <w:t xml:space="preserve"> </w:t>
      </w:r>
      <w:r w:rsidR="003A22E8">
        <w:t>Mere sammenhængende brugerrejser</w:t>
      </w:r>
      <w:r w:rsidR="006D004C">
        <w:t xml:space="preserve"> er udført </w:t>
      </w:r>
      <w:r w:rsidR="003A22E8">
        <w:t>27</w:t>
      </w:r>
      <w:r>
        <w:t xml:space="preserve">. </w:t>
      </w:r>
      <w:r w:rsidR="003A22E8">
        <w:t>maj</w:t>
      </w:r>
      <w:r w:rsidR="00F804E0">
        <w:t xml:space="preserve"> til </w:t>
      </w:r>
      <w:r w:rsidR="003A22E8">
        <w:t>17</w:t>
      </w:r>
      <w:r>
        <w:t xml:space="preserve">. </w:t>
      </w:r>
      <w:r w:rsidR="003A22E8">
        <w:t>juni</w:t>
      </w:r>
      <w:r w:rsidR="00D0758E">
        <w:t xml:space="preserve"> 2019</w:t>
      </w:r>
      <w:r>
        <w:t xml:space="preserve"> på baggrund af projektets fremsendte materialer:</w:t>
      </w:r>
    </w:p>
    <w:p w14:paraId="0CBDE13F" w14:textId="77777777" w:rsidR="00220BAE" w:rsidRDefault="00292B97">
      <w:pPr>
        <w:numPr>
          <w:ilvl w:val="0"/>
          <w:numId w:val="2"/>
        </w:numPr>
        <w:ind w:left="405"/>
        <w:contextualSpacing/>
      </w:pPr>
      <w:proofErr w:type="spellStart"/>
      <w:r>
        <w:t>Reviewmateriale</w:t>
      </w:r>
      <w:proofErr w:type="spellEnd"/>
      <w:r>
        <w:t xml:space="preserve"> – 29.05-2019.pptx</w:t>
      </w:r>
    </w:p>
    <w:p w14:paraId="6B76E302" w14:textId="77777777" w:rsidR="007B6E2E" w:rsidRDefault="00292B97">
      <w:pPr>
        <w:numPr>
          <w:ilvl w:val="0"/>
          <w:numId w:val="2"/>
        </w:numPr>
        <w:ind w:left="405"/>
        <w:contextualSpacing/>
      </w:pPr>
      <w:r>
        <w:t xml:space="preserve">Fods initiativ 1.1 udfyldt tjekliste til </w:t>
      </w:r>
      <w:proofErr w:type="spellStart"/>
      <w:r>
        <w:t>arkitekturreview</w:t>
      </w:r>
      <w:proofErr w:type="spellEnd"/>
      <w:r>
        <w:t xml:space="preserve"> april 2019.xlxs</w:t>
      </w:r>
    </w:p>
    <w:p w14:paraId="4AEFBB9D" w14:textId="77777777" w:rsidR="00220BAE" w:rsidRDefault="00292B97">
      <w:pPr>
        <w:numPr>
          <w:ilvl w:val="0"/>
          <w:numId w:val="2"/>
        </w:numPr>
        <w:ind w:left="405"/>
        <w:contextualSpacing/>
      </w:pPr>
      <w:r>
        <w:t>S-D-Rapport-guidekomponent v1.0.pdf</w:t>
      </w:r>
    </w:p>
    <w:p w14:paraId="69FD417C" w14:textId="77777777" w:rsidR="00220BAE" w:rsidRPr="00292B97" w:rsidRDefault="00292B97" w:rsidP="00292B97">
      <w:pPr>
        <w:numPr>
          <w:ilvl w:val="0"/>
          <w:numId w:val="2"/>
        </w:numPr>
        <w:ind w:left="405"/>
        <w:contextualSpacing/>
      </w:pPr>
      <w:r>
        <w:t xml:space="preserve">Løsningsbeskrivelse Guidemotor-udtræk fra </w:t>
      </w:r>
      <w:proofErr w:type="spellStart"/>
      <w:r>
        <w:t>confluence</w:t>
      </w:r>
      <w:proofErr w:type="spellEnd"/>
      <w:r>
        <w:t xml:space="preserve"> 6. juni 2019.pdf</w:t>
      </w:r>
      <w:r w:rsidR="00D0758E" w:rsidRPr="00292B97">
        <w:br/>
      </w:r>
    </w:p>
    <w:p w14:paraId="33C62EE1" w14:textId="552BD90A" w:rsidR="007B6E2E" w:rsidRDefault="00E80DA7" w:rsidP="00220BAE">
      <w:pPr>
        <w:ind w:left="45"/>
        <w:contextualSpacing/>
      </w:pPr>
      <w:proofErr w:type="spellStart"/>
      <w:r>
        <w:t>Reviewet</w:t>
      </w:r>
      <w:proofErr w:type="spellEnd"/>
      <w:r>
        <w:t xml:space="preserve"> er udført i overensstemmelse med retningslinjer for </w:t>
      </w:r>
      <w:proofErr w:type="spellStart"/>
      <w:r>
        <w:t>arkitekturreviews</w:t>
      </w:r>
      <w:proofErr w:type="spellEnd"/>
      <w:r>
        <w:t>, godkendt af styregruppen for data</w:t>
      </w:r>
      <w:r w:rsidR="006E21E5">
        <w:t xml:space="preserve"> og arkitektur maj 2017. </w:t>
      </w:r>
      <w:r w:rsidR="00D9465E">
        <w:t xml:space="preserve">Udgangspunktet for </w:t>
      </w:r>
      <w:proofErr w:type="spellStart"/>
      <w:r w:rsidR="00D9465E">
        <w:t>reviewet</w:t>
      </w:r>
      <w:proofErr w:type="spellEnd"/>
      <w:r w:rsidR="00D9465E">
        <w:t xml:space="preserve"> udgøres af hvidbog om fællesoffentlig digital arkitektur.</w:t>
      </w:r>
      <w:r w:rsidR="004D0A05">
        <w:t xml:space="preserve"> Det er udarbejdet en vurdering af hvor langt projektet er kommet med at leve op til hvidbogens principper i Bilag 1.</w:t>
      </w:r>
      <w:r w:rsidR="00D9465E">
        <w:t xml:space="preserve"> </w:t>
      </w:r>
      <w:proofErr w:type="spellStart"/>
      <w:r w:rsidR="006E21E5">
        <w:t>Review</w:t>
      </w:r>
      <w:r>
        <w:t>boardet</w:t>
      </w:r>
      <w:proofErr w:type="spellEnd"/>
      <w:r>
        <w:t xml:space="preserve"> og deltagere er listet i nedenstående tabel: </w:t>
      </w:r>
    </w:p>
    <w:p w14:paraId="550138BE" w14:textId="77777777" w:rsidR="00E84CBD" w:rsidRDefault="00E84CBD" w:rsidP="00220BAE">
      <w:pPr>
        <w:ind w:left="45"/>
        <w:contextualSpacing/>
      </w:pPr>
    </w:p>
    <w:tbl>
      <w:tblPr>
        <w:tblStyle w:val="a"/>
        <w:tblW w:w="9151"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2137"/>
        <w:gridCol w:w="3682"/>
        <w:gridCol w:w="3332"/>
      </w:tblGrid>
      <w:tr w:rsidR="00E52915" w14:paraId="0645B778" w14:textId="77777777" w:rsidTr="0039423C">
        <w:tc>
          <w:tcPr>
            <w:tcW w:w="2137" w:type="dxa"/>
            <w:shd w:val="clear" w:color="auto" w:fill="DBE5F1"/>
          </w:tcPr>
          <w:p w14:paraId="2AEAA40C" w14:textId="77777777" w:rsidR="00E52915" w:rsidRDefault="00E52915">
            <w:pPr>
              <w:ind w:left="100"/>
              <w:rPr>
                <w:b/>
                <w:color w:val="000000"/>
                <w:sz w:val="18"/>
                <w:szCs w:val="18"/>
              </w:rPr>
            </w:pPr>
            <w:proofErr w:type="spellStart"/>
            <w:r>
              <w:rPr>
                <w:b/>
                <w:sz w:val="18"/>
                <w:szCs w:val="18"/>
              </w:rPr>
              <w:t>Reviewboard</w:t>
            </w:r>
            <w:proofErr w:type="spellEnd"/>
            <w:r>
              <w:rPr>
                <w:b/>
                <w:sz w:val="18"/>
                <w:szCs w:val="18"/>
              </w:rPr>
              <w:t>:</w:t>
            </w:r>
          </w:p>
        </w:tc>
        <w:tc>
          <w:tcPr>
            <w:tcW w:w="3682" w:type="dxa"/>
            <w:shd w:val="clear" w:color="auto" w:fill="DBE5F1"/>
          </w:tcPr>
          <w:p w14:paraId="06A41DBB" w14:textId="77777777" w:rsidR="00E52915" w:rsidRDefault="00E52915" w:rsidP="00E52915">
            <w:pPr>
              <w:ind w:right="-45"/>
              <w:rPr>
                <w:sz w:val="18"/>
                <w:szCs w:val="18"/>
              </w:rPr>
            </w:pPr>
            <w:r>
              <w:rPr>
                <w:sz w:val="18"/>
                <w:szCs w:val="18"/>
              </w:rPr>
              <w:t xml:space="preserve">Kaspar Didriksen, </w:t>
            </w:r>
            <w:r w:rsidR="0039423C">
              <w:rPr>
                <w:sz w:val="18"/>
                <w:szCs w:val="18"/>
              </w:rPr>
              <w:t>Arkitekt</w:t>
            </w:r>
          </w:p>
        </w:tc>
        <w:tc>
          <w:tcPr>
            <w:tcW w:w="3332" w:type="dxa"/>
            <w:shd w:val="clear" w:color="auto" w:fill="DBE5F1"/>
          </w:tcPr>
          <w:p w14:paraId="61153957" w14:textId="77777777" w:rsidR="00E52915" w:rsidRDefault="00E52915" w:rsidP="00292B97">
            <w:pPr>
              <w:ind w:right="-45"/>
              <w:rPr>
                <w:sz w:val="18"/>
                <w:szCs w:val="18"/>
              </w:rPr>
            </w:pPr>
            <w:r>
              <w:rPr>
                <w:sz w:val="18"/>
                <w:szCs w:val="18"/>
              </w:rPr>
              <w:t>Styrelsen for Dataforsyning og Effektivitet</w:t>
            </w:r>
          </w:p>
        </w:tc>
      </w:tr>
      <w:tr w:rsidR="00E52915" w14:paraId="6ED7ECAE" w14:textId="77777777" w:rsidTr="0039423C">
        <w:tc>
          <w:tcPr>
            <w:tcW w:w="2137" w:type="dxa"/>
            <w:shd w:val="clear" w:color="auto" w:fill="DBE5F1"/>
          </w:tcPr>
          <w:p w14:paraId="3B9C298C" w14:textId="77777777" w:rsidR="00E52915" w:rsidRDefault="00E52915">
            <w:pPr>
              <w:ind w:left="100"/>
              <w:rPr>
                <w:b/>
                <w:sz w:val="18"/>
                <w:szCs w:val="18"/>
              </w:rPr>
            </w:pPr>
          </w:p>
        </w:tc>
        <w:tc>
          <w:tcPr>
            <w:tcW w:w="3682" w:type="dxa"/>
            <w:shd w:val="clear" w:color="auto" w:fill="DBE5F1"/>
          </w:tcPr>
          <w:p w14:paraId="70F2A71D" w14:textId="77777777" w:rsidR="00E52915" w:rsidRDefault="00E52915" w:rsidP="0039423C">
            <w:pPr>
              <w:ind w:right="-45"/>
              <w:rPr>
                <w:sz w:val="18"/>
                <w:szCs w:val="18"/>
              </w:rPr>
            </w:pPr>
            <w:r>
              <w:rPr>
                <w:sz w:val="18"/>
                <w:szCs w:val="18"/>
              </w:rPr>
              <w:t xml:space="preserve">Peter Thrane, </w:t>
            </w:r>
            <w:r w:rsidR="0039423C">
              <w:rPr>
                <w:sz w:val="18"/>
                <w:szCs w:val="18"/>
              </w:rPr>
              <w:t>Arkitekt</w:t>
            </w:r>
          </w:p>
        </w:tc>
        <w:tc>
          <w:tcPr>
            <w:tcW w:w="3332" w:type="dxa"/>
            <w:shd w:val="clear" w:color="auto" w:fill="DBE5F1"/>
          </w:tcPr>
          <w:p w14:paraId="2801F9C6" w14:textId="77777777" w:rsidR="00E52915" w:rsidRDefault="0039423C" w:rsidP="00292B97">
            <w:pPr>
              <w:ind w:right="-45"/>
              <w:rPr>
                <w:sz w:val="18"/>
                <w:szCs w:val="18"/>
              </w:rPr>
            </w:pPr>
            <w:r>
              <w:rPr>
                <w:sz w:val="18"/>
                <w:szCs w:val="18"/>
              </w:rPr>
              <w:t>KL</w:t>
            </w:r>
          </w:p>
        </w:tc>
      </w:tr>
      <w:tr w:rsidR="00E52915" w14:paraId="361ED6D0" w14:textId="77777777" w:rsidTr="0039423C">
        <w:tc>
          <w:tcPr>
            <w:tcW w:w="2137" w:type="dxa"/>
            <w:shd w:val="clear" w:color="auto" w:fill="DBE5F1"/>
          </w:tcPr>
          <w:p w14:paraId="6C9FC18D" w14:textId="77777777" w:rsidR="00E52915" w:rsidRDefault="00E52915">
            <w:pPr>
              <w:ind w:left="100"/>
              <w:rPr>
                <w:b/>
                <w:sz w:val="18"/>
                <w:szCs w:val="18"/>
              </w:rPr>
            </w:pPr>
          </w:p>
        </w:tc>
        <w:tc>
          <w:tcPr>
            <w:tcW w:w="3682" w:type="dxa"/>
            <w:shd w:val="clear" w:color="auto" w:fill="DBE5F1"/>
          </w:tcPr>
          <w:p w14:paraId="47D11F41" w14:textId="77777777" w:rsidR="00E52915" w:rsidRDefault="00E52915" w:rsidP="0039423C">
            <w:pPr>
              <w:ind w:right="-45"/>
              <w:rPr>
                <w:sz w:val="18"/>
                <w:szCs w:val="18"/>
              </w:rPr>
            </w:pPr>
            <w:r>
              <w:rPr>
                <w:sz w:val="18"/>
                <w:szCs w:val="18"/>
              </w:rPr>
              <w:t>Rune Reimann Petersen,</w:t>
            </w:r>
            <w:r w:rsidR="0039423C">
              <w:rPr>
                <w:sz w:val="18"/>
                <w:szCs w:val="18"/>
              </w:rPr>
              <w:t xml:space="preserve"> Arkitekt</w:t>
            </w:r>
            <w:r>
              <w:rPr>
                <w:sz w:val="18"/>
                <w:szCs w:val="18"/>
              </w:rPr>
              <w:t xml:space="preserve"> </w:t>
            </w:r>
          </w:p>
        </w:tc>
        <w:tc>
          <w:tcPr>
            <w:tcW w:w="3332" w:type="dxa"/>
            <w:shd w:val="clear" w:color="auto" w:fill="DBE5F1"/>
          </w:tcPr>
          <w:p w14:paraId="3CA8E325" w14:textId="77777777" w:rsidR="00E52915" w:rsidRDefault="0039423C" w:rsidP="003F7DBB">
            <w:pPr>
              <w:ind w:right="-45"/>
              <w:rPr>
                <w:sz w:val="18"/>
                <w:szCs w:val="18"/>
              </w:rPr>
            </w:pPr>
            <w:r>
              <w:rPr>
                <w:sz w:val="18"/>
                <w:szCs w:val="18"/>
              </w:rPr>
              <w:t>KL</w:t>
            </w:r>
          </w:p>
        </w:tc>
      </w:tr>
      <w:tr w:rsidR="00E52915" w14:paraId="4349B39E" w14:textId="77777777" w:rsidTr="0039423C">
        <w:tc>
          <w:tcPr>
            <w:tcW w:w="2137" w:type="dxa"/>
            <w:shd w:val="clear" w:color="auto" w:fill="DBE5F1"/>
          </w:tcPr>
          <w:p w14:paraId="5823B145" w14:textId="77777777" w:rsidR="00E52915" w:rsidRDefault="00E52915">
            <w:pPr>
              <w:ind w:left="100"/>
              <w:rPr>
                <w:b/>
                <w:color w:val="000000"/>
                <w:sz w:val="18"/>
                <w:szCs w:val="18"/>
              </w:rPr>
            </w:pPr>
            <w:r>
              <w:rPr>
                <w:b/>
                <w:color w:val="000000"/>
                <w:sz w:val="18"/>
                <w:szCs w:val="18"/>
              </w:rPr>
              <w:t>Sekretariat for 8.1:</w:t>
            </w:r>
          </w:p>
        </w:tc>
        <w:tc>
          <w:tcPr>
            <w:tcW w:w="3682" w:type="dxa"/>
            <w:shd w:val="clear" w:color="auto" w:fill="DBE5F1"/>
          </w:tcPr>
          <w:p w14:paraId="6C547762" w14:textId="77777777" w:rsidR="00E52915" w:rsidRDefault="00E52915" w:rsidP="0039423C">
            <w:pPr>
              <w:ind w:right="-45"/>
              <w:rPr>
                <w:color w:val="000000"/>
                <w:sz w:val="18"/>
                <w:szCs w:val="18"/>
              </w:rPr>
            </w:pPr>
            <w:r>
              <w:rPr>
                <w:sz w:val="18"/>
                <w:szCs w:val="18"/>
              </w:rPr>
              <w:t xml:space="preserve">Mads Hjorth, </w:t>
            </w:r>
            <w:r w:rsidR="0039423C">
              <w:rPr>
                <w:sz w:val="18"/>
                <w:szCs w:val="18"/>
              </w:rPr>
              <w:t>Arkitekt</w:t>
            </w:r>
          </w:p>
        </w:tc>
        <w:tc>
          <w:tcPr>
            <w:tcW w:w="3332" w:type="dxa"/>
            <w:shd w:val="clear" w:color="auto" w:fill="DBE5F1"/>
          </w:tcPr>
          <w:p w14:paraId="7F74EA33" w14:textId="77777777" w:rsidR="00E52915" w:rsidRDefault="0039423C">
            <w:pPr>
              <w:ind w:right="-45"/>
              <w:rPr>
                <w:sz w:val="18"/>
                <w:szCs w:val="18"/>
              </w:rPr>
            </w:pPr>
            <w:r>
              <w:rPr>
                <w:sz w:val="18"/>
                <w:szCs w:val="18"/>
              </w:rPr>
              <w:t>Digitaliseringsstyrelsen - CTD</w:t>
            </w:r>
          </w:p>
        </w:tc>
      </w:tr>
      <w:tr w:rsidR="00E52915" w14:paraId="65CD6DC6" w14:textId="77777777" w:rsidTr="0039423C">
        <w:tc>
          <w:tcPr>
            <w:tcW w:w="2137" w:type="dxa"/>
            <w:shd w:val="clear" w:color="auto" w:fill="DBE5F1"/>
          </w:tcPr>
          <w:p w14:paraId="7D7C8F6F" w14:textId="77777777" w:rsidR="00E52915" w:rsidRDefault="00E52915">
            <w:pPr>
              <w:ind w:left="100"/>
              <w:rPr>
                <w:b/>
                <w:sz w:val="18"/>
                <w:szCs w:val="18"/>
              </w:rPr>
            </w:pPr>
          </w:p>
        </w:tc>
        <w:tc>
          <w:tcPr>
            <w:tcW w:w="3682" w:type="dxa"/>
            <w:shd w:val="clear" w:color="auto" w:fill="DBE5F1"/>
          </w:tcPr>
          <w:p w14:paraId="2E9789C4" w14:textId="77777777" w:rsidR="00E52915" w:rsidRDefault="00E52915" w:rsidP="0039423C">
            <w:pPr>
              <w:ind w:right="-45"/>
              <w:rPr>
                <w:sz w:val="18"/>
                <w:szCs w:val="18"/>
              </w:rPr>
            </w:pPr>
            <w:r>
              <w:rPr>
                <w:sz w:val="18"/>
                <w:szCs w:val="18"/>
              </w:rPr>
              <w:t>Asbjørn Flyger Lauwersen,</w:t>
            </w:r>
            <w:r w:rsidR="0039423C">
              <w:rPr>
                <w:sz w:val="18"/>
                <w:szCs w:val="18"/>
              </w:rPr>
              <w:t xml:space="preserve"> </w:t>
            </w:r>
            <w:proofErr w:type="spellStart"/>
            <w:r w:rsidR="0039423C">
              <w:rPr>
                <w:sz w:val="18"/>
                <w:szCs w:val="18"/>
              </w:rPr>
              <w:t>Facilitator</w:t>
            </w:r>
            <w:proofErr w:type="spellEnd"/>
          </w:p>
        </w:tc>
        <w:tc>
          <w:tcPr>
            <w:tcW w:w="3332" w:type="dxa"/>
            <w:shd w:val="clear" w:color="auto" w:fill="DBE5F1"/>
          </w:tcPr>
          <w:p w14:paraId="068CE22C" w14:textId="77777777" w:rsidR="00E52915" w:rsidRDefault="0039423C" w:rsidP="009C0C23">
            <w:pPr>
              <w:ind w:right="-45"/>
              <w:rPr>
                <w:sz w:val="18"/>
                <w:szCs w:val="18"/>
              </w:rPr>
            </w:pPr>
            <w:r>
              <w:rPr>
                <w:sz w:val="18"/>
                <w:szCs w:val="18"/>
              </w:rPr>
              <w:t>Digitaliseringsstyrelsen - CTD</w:t>
            </w:r>
          </w:p>
        </w:tc>
      </w:tr>
      <w:tr w:rsidR="00E52915" w14:paraId="3A53FFFE" w14:textId="77777777" w:rsidTr="0039423C">
        <w:tc>
          <w:tcPr>
            <w:tcW w:w="2137" w:type="dxa"/>
            <w:shd w:val="clear" w:color="auto" w:fill="DBE5F1"/>
          </w:tcPr>
          <w:p w14:paraId="14F94330" w14:textId="77777777" w:rsidR="00E52915" w:rsidRDefault="00E52915">
            <w:pPr>
              <w:ind w:left="100"/>
              <w:rPr>
                <w:b/>
                <w:sz w:val="18"/>
                <w:szCs w:val="18"/>
              </w:rPr>
            </w:pPr>
            <w:r>
              <w:rPr>
                <w:b/>
                <w:sz w:val="18"/>
                <w:szCs w:val="18"/>
              </w:rPr>
              <w:t>Projektdeltagere:</w:t>
            </w:r>
          </w:p>
        </w:tc>
        <w:tc>
          <w:tcPr>
            <w:tcW w:w="3682" w:type="dxa"/>
            <w:shd w:val="clear" w:color="auto" w:fill="DBE5F1"/>
          </w:tcPr>
          <w:p w14:paraId="39933E63" w14:textId="77777777" w:rsidR="00E52915" w:rsidRDefault="00E52915" w:rsidP="0039423C">
            <w:pPr>
              <w:ind w:right="-45"/>
              <w:rPr>
                <w:sz w:val="18"/>
                <w:szCs w:val="18"/>
              </w:rPr>
            </w:pPr>
            <w:r>
              <w:rPr>
                <w:sz w:val="18"/>
                <w:szCs w:val="18"/>
              </w:rPr>
              <w:t xml:space="preserve">Tina </w:t>
            </w:r>
            <w:proofErr w:type="spellStart"/>
            <w:r>
              <w:rPr>
                <w:sz w:val="18"/>
                <w:szCs w:val="18"/>
              </w:rPr>
              <w:t>Windeløw</w:t>
            </w:r>
            <w:proofErr w:type="spellEnd"/>
            <w:r>
              <w:rPr>
                <w:sz w:val="18"/>
                <w:szCs w:val="18"/>
              </w:rPr>
              <w:t xml:space="preserve"> Myrhøj Draminsky,</w:t>
            </w:r>
            <w:r w:rsidR="0039423C">
              <w:rPr>
                <w:sz w:val="18"/>
                <w:szCs w:val="18"/>
              </w:rPr>
              <w:t xml:space="preserve"> Projektleder</w:t>
            </w:r>
            <w:r>
              <w:rPr>
                <w:sz w:val="18"/>
                <w:szCs w:val="18"/>
              </w:rPr>
              <w:t xml:space="preserve"> </w:t>
            </w:r>
          </w:p>
        </w:tc>
        <w:tc>
          <w:tcPr>
            <w:tcW w:w="3332" w:type="dxa"/>
            <w:shd w:val="clear" w:color="auto" w:fill="DBE5F1"/>
          </w:tcPr>
          <w:p w14:paraId="60CD2D69" w14:textId="77777777" w:rsidR="00E52915" w:rsidRDefault="0039423C" w:rsidP="00292B97">
            <w:pPr>
              <w:ind w:right="-45"/>
              <w:rPr>
                <w:sz w:val="18"/>
                <w:szCs w:val="18"/>
              </w:rPr>
            </w:pPr>
            <w:r>
              <w:rPr>
                <w:sz w:val="18"/>
                <w:szCs w:val="18"/>
              </w:rPr>
              <w:t>Digitaliseringsstyrelsen</w:t>
            </w:r>
          </w:p>
        </w:tc>
      </w:tr>
      <w:tr w:rsidR="00E52915" w14:paraId="6220C731" w14:textId="77777777" w:rsidTr="0039423C">
        <w:tc>
          <w:tcPr>
            <w:tcW w:w="2137" w:type="dxa"/>
            <w:shd w:val="clear" w:color="auto" w:fill="DBE5F1"/>
          </w:tcPr>
          <w:p w14:paraId="43908DDD" w14:textId="77777777" w:rsidR="00E52915" w:rsidRDefault="00E52915">
            <w:pPr>
              <w:ind w:left="100"/>
              <w:rPr>
                <w:b/>
                <w:color w:val="000000"/>
                <w:sz w:val="18"/>
                <w:szCs w:val="18"/>
              </w:rPr>
            </w:pPr>
          </w:p>
        </w:tc>
        <w:tc>
          <w:tcPr>
            <w:tcW w:w="3682" w:type="dxa"/>
            <w:shd w:val="clear" w:color="auto" w:fill="DBE5F1"/>
          </w:tcPr>
          <w:p w14:paraId="1B9F21EB" w14:textId="77777777" w:rsidR="00E52915" w:rsidRDefault="00E52915" w:rsidP="0039423C">
            <w:pPr>
              <w:ind w:right="-45"/>
              <w:rPr>
                <w:sz w:val="18"/>
                <w:szCs w:val="18"/>
              </w:rPr>
            </w:pPr>
            <w:r>
              <w:rPr>
                <w:sz w:val="18"/>
                <w:szCs w:val="18"/>
              </w:rPr>
              <w:t>Anna Louise Madsen, Projektdeltager</w:t>
            </w:r>
          </w:p>
        </w:tc>
        <w:tc>
          <w:tcPr>
            <w:tcW w:w="3332" w:type="dxa"/>
            <w:shd w:val="clear" w:color="auto" w:fill="DBE5F1"/>
          </w:tcPr>
          <w:p w14:paraId="42E4E48D" w14:textId="77777777" w:rsidR="00E52915" w:rsidRDefault="0039423C" w:rsidP="009C0C23">
            <w:pPr>
              <w:ind w:right="-45"/>
              <w:rPr>
                <w:sz w:val="18"/>
                <w:szCs w:val="18"/>
              </w:rPr>
            </w:pPr>
            <w:r>
              <w:rPr>
                <w:sz w:val="18"/>
                <w:szCs w:val="18"/>
              </w:rPr>
              <w:t>Digitaliseringsstyrelsen</w:t>
            </w:r>
          </w:p>
        </w:tc>
      </w:tr>
      <w:tr w:rsidR="00E52915" w14:paraId="22747505" w14:textId="77777777" w:rsidTr="0039423C">
        <w:tc>
          <w:tcPr>
            <w:tcW w:w="2137" w:type="dxa"/>
            <w:shd w:val="clear" w:color="auto" w:fill="DBE5F1"/>
          </w:tcPr>
          <w:p w14:paraId="1E869811" w14:textId="77777777" w:rsidR="00E52915" w:rsidRDefault="00E52915">
            <w:pPr>
              <w:ind w:left="100"/>
              <w:rPr>
                <w:b/>
                <w:color w:val="000000"/>
                <w:sz w:val="18"/>
                <w:szCs w:val="18"/>
              </w:rPr>
            </w:pPr>
          </w:p>
        </w:tc>
        <w:tc>
          <w:tcPr>
            <w:tcW w:w="3682" w:type="dxa"/>
            <w:shd w:val="clear" w:color="auto" w:fill="DBE5F1"/>
          </w:tcPr>
          <w:p w14:paraId="2C8481EB" w14:textId="77777777" w:rsidR="00E52915" w:rsidRDefault="00E52915" w:rsidP="0039423C">
            <w:pPr>
              <w:ind w:right="-45"/>
              <w:rPr>
                <w:sz w:val="18"/>
                <w:szCs w:val="18"/>
              </w:rPr>
            </w:pPr>
            <w:r>
              <w:rPr>
                <w:sz w:val="18"/>
                <w:szCs w:val="18"/>
              </w:rPr>
              <w:t>Klaus Cramer Rubæk, Projektleder</w:t>
            </w:r>
          </w:p>
        </w:tc>
        <w:tc>
          <w:tcPr>
            <w:tcW w:w="3332" w:type="dxa"/>
            <w:shd w:val="clear" w:color="auto" w:fill="DBE5F1"/>
          </w:tcPr>
          <w:p w14:paraId="7278E19F" w14:textId="77777777" w:rsidR="00E52915" w:rsidRDefault="0039423C" w:rsidP="003F7DBB">
            <w:pPr>
              <w:ind w:right="-45"/>
              <w:rPr>
                <w:sz w:val="18"/>
                <w:szCs w:val="18"/>
              </w:rPr>
            </w:pPr>
            <w:r>
              <w:rPr>
                <w:sz w:val="18"/>
                <w:szCs w:val="18"/>
              </w:rPr>
              <w:t>Erhvervsstyrelsen</w:t>
            </w:r>
          </w:p>
        </w:tc>
      </w:tr>
      <w:tr w:rsidR="00E52915" w14:paraId="4870DD1F" w14:textId="77777777" w:rsidTr="0039423C">
        <w:tc>
          <w:tcPr>
            <w:tcW w:w="2137" w:type="dxa"/>
            <w:shd w:val="clear" w:color="auto" w:fill="DBE5F1"/>
          </w:tcPr>
          <w:p w14:paraId="68B9F5CA" w14:textId="77777777" w:rsidR="00E52915" w:rsidRDefault="00E52915">
            <w:pPr>
              <w:ind w:left="100"/>
              <w:rPr>
                <w:b/>
                <w:color w:val="000000"/>
                <w:sz w:val="18"/>
                <w:szCs w:val="18"/>
              </w:rPr>
            </w:pPr>
          </w:p>
        </w:tc>
        <w:tc>
          <w:tcPr>
            <w:tcW w:w="3682" w:type="dxa"/>
            <w:shd w:val="clear" w:color="auto" w:fill="DBE5F1"/>
          </w:tcPr>
          <w:p w14:paraId="41173055" w14:textId="77777777" w:rsidR="00E52915" w:rsidRDefault="00E52915" w:rsidP="0039423C">
            <w:pPr>
              <w:ind w:right="-45"/>
              <w:rPr>
                <w:sz w:val="18"/>
                <w:szCs w:val="18"/>
              </w:rPr>
            </w:pPr>
            <w:r>
              <w:rPr>
                <w:sz w:val="18"/>
                <w:szCs w:val="18"/>
              </w:rPr>
              <w:t>Kurt Hansen, Arkitekt</w:t>
            </w:r>
          </w:p>
        </w:tc>
        <w:tc>
          <w:tcPr>
            <w:tcW w:w="3332" w:type="dxa"/>
            <w:shd w:val="clear" w:color="auto" w:fill="DBE5F1"/>
          </w:tcPr>
          <w:p w14:paraId="31A60093" w14:textId="77777777" w:rsidR="00E52915" w:rsidRDefault="0039423C" w:rsidP="003F7DBB">
            <w:pPr>
              <w:ind w:right="-45"/>
              <w:rPr>
                <w:sz w:val="18"/>
                <w:szCs w:val="18"/>
              </w:rPr>
            </w:pPr>
            <w:r>
              <w:rPr>
                <w:sz w:val="18"/>
                <w:szCs w:val="18"/>
              </w:rPr>
              <w:t>Strand og Donslund</w:t>
            </w:r>
          </w:p>
        </w:tc>
      </w:tr>
      <w:tr w:rsidR="00E52915" w14:paraId="594DDF05" w14:textId="77777777" w:rsidTr="0039423C">
        <w:tc>
          <w:tcPr>
            <w:tcW w:w="2137" w:type="dxa"/>
            <w:shd w:val="clear" w:color="auto" w:fill="DBE5F1"/>
          </w:tcPr>
          <w:p w14:paraId="2CDFC04F" w14:textId="77777777" w:rsidR="00E52915" w:rsidRDefault="00E52915">
            <w:pPr>
              <w:ind w:left="100"/>
              <w:rPr>
                <w:b/>
                <w:color w:val="000000"/>
                <w:sz w:val="18"/>
                <w:szCs w:val="18"/>
              </w:rPr>
            </w:pPr>
            <w:r>
              <w:rPr>
                <w:b/>
                <w:color w:val="000000"/>
                <w:sz w:val="18"/>
                <w:szCs w:val="18"/>
              </w:rPr>
              <w:t>Observatører:</w:t>
            </w:r>
          </w:p>
        </w:tc>
        <w:tc>
          <w:tcPr>
            <w:tcW w:w="3682" w:type="dxa"/>
            <w:shd w:val="clear" w:color="auto" w:fill="DBE5F1"/>
          </w:tcPr>
          <w:p w14:paraId="1EE16C92" w14:textId="77777777" w:rsidR="00E52915" w:rsidRDefault="00E52915" w:rsidP="0039423C">
            <w:pPr>
              <w:ind w:right="-45"/>
              <w:rPr>
                <w:sz w:val="18"/>
                <w:szCs w:val="18"/>
              </w:rPr>
            </w:pPr>
            <w:r>
              <w:rPr>
                <w:sz w:val="18"/>
                <w:szCs w:val="18"/>
              </w:rPr>
              <w:t>Avijâja Absalonsen</w:t>
            </w:r>
          </w:p>
        </w:tc>
        <w:tc>
          <w:tcPr>
            <w:tcW w:w="3332" w:type="dxa"/>
            <w:shd w:val="clear" w:color="auto" w:fill="DBE5F1"/>
          </w:tcPr>
          <w:p w14:paraId="490ED6A9" w14:textId="77777777" w:rsidR="00E52915" w:rsidRDefault="0039423C" w:rsidP="003F7DBB">
            <w:pPr>
              <w:ind w:right="-45"/>
              <w:rPr>
                <w:sz w:val="18"/>
                <w:szCs w:val="18"/>
              </w:rPr>
            </w:pPr>
            <w:r>
              <w:rPr>
                <w:sz w:val="18"/>
                <w:szCs w:val="18"/>
              </w:rPr>
              <w:t>Grønlands Digitaliseringsstyrelse</w:t>
            </w:r>
          </w:p>
        </w:tc>
      </w:tr>
    </w:tbl>
    <w:p w14:paraId="1B71A38D" w14:textId="77777777" w:rsidR="00903335" w:rsidRPr="009C509D" w:rsidRDefault="00E80DA7" w:rsidP="00903335">
      <w:pPr>
        <w:pStyle w:val="Overskrift1"/>
        <w:keepNext w:val="0"/>
        <w:keepLines w:val="0"/>
        <w:spacing w:after="80"/>
      </w:pPr>
      <w:bookmarkStart w:id="8" w:name="_Toc11934800"/>
      <w:r>
        <w:t>Projektresume</w:t>
      </w:r>
      <w:bookmarkEnd w:id="8"/>
    </w:p>
    <w:p w14:paraId="719C1ECD" w14:textId="77777777" w:rsidR="00EC2A67" w:rsidRDefault="00526DD4">
      <w:pPr>
        <w:spacing w:after="120"/>
      </w:pPr>
      <w:r>
        <w:t xml:space="preserve">Under initiativ 1.1 Mere sammenhængende brugerrejser findes </w:t>
      </w:r>
      <w:r w:rsidR="007C588E">
        <w:t>to projekter. Begge projekter arbejder med at skabe guides der kan hjælpe brugere med at finde rundt i forskellige selvbetjeningsløsninger, med udgangspunkt i</w:t>
      </w:r>
      <w:r w:rsidR="00D9465E">
        <w:t xml:space="preserve"> grundlæggende</w:t>
      </w:r>
      <w:r w:rsidR="007C588E">
        <w:t xml:space="preserve"> forskellige</w:t>
      </w:r>
      <w:r w:rsidR="00D9465E">
        <w:t xml:space="preserve"> forretnings</w:t>
      </w:r>
      <w:r w:rsidR="00BD19C7">
        <w:t>- og livs</w:t>
      </w:r>
      <w:r w:rsidR="007C588E">
        <w:t xml:space="preserve">situationer. </w:t>
      </w:r>
    </w:p>
    <w:p w14:paraId="0D56A2B9" w14:textId="77777777" w:rsidR="001F52FD" w:rsidRDefault="00EC2A67">
      <w:pPr>
        <w:spacing w:after="120"/>
      </w:pPr>
      <w:r>
        <w:t>Det ene projekt sigter mod at lave en guidemotor, der kan understøtte etableringen af guides på virk.dk. Dette projekt har en række fordelagtige forudsætninger for at lave en teknisk integreret guideløsning, da en lang række af de involverede selvbetjeningsforløb er ejet af virk.dk og</w:t>
      </w:r>
      <w:r w:rsidR="001F52FD">
        <w:t xml:space="preserve"> derfor allerede lever på samme</w:t>
      </w:r>
      <w:r>
        <w:t xml:space="preserve"> platform under samme </w:t>
      </w:r>
      <w:proofErr w:type="spellStart"/>
      <w:r>
        <w:t>governance</w:t>
      </w:r>
      <w:proofErr w:type="spellEnd"/>
      <w:r>
        <w:t xml:space="preserve">. </w:t>
      </w:r>
      <w:r w:rsidR="001F52FD">
        <w:t xml:space="preserve">Dette projekt arbejder målrettet med guides til virksomheders selvbetjening, det kan være i forløb som ”Opstart af virksomhed” eller ”Første ansættelse”. </w:t>
      </w:r>
    </w:p>
    <w:p w14:paraId="4FAD5D9C" w14:textId="77777777" w:rsidR="00937A6E" w:rsidRDefault="001F52FD">
      <w:pPr>
        <w:spacing w:after="120"/>
      </w:pPr>
      <w:r>
        <w:t xml:space="preserve">Det andet projekt </w:t>
      </w:r>
      <w:r w:rsidR="00210E7D">
        <w:t>er borger-rettet og skal udarbejde guides for borgere i</w:t>
      </w:r>
      <w:r w:rsidR="00937A6E">
        <w:t xml:space="preserve"> en række</w:t>
      </w:r>
      <w:r w:rsidR="00210E7D">
        <w:t xml:space="preserve"> specifikke livssituationer, som </w:t>
      </w:r>
      <w:r w:rsidR="00DC3ACD">
        <w:t xml:space="preserve">fx </w:t>
      </w:r>
      <w:r w:rsidR="00210E7D">
        <w:t>flytning, skilsmisse eller dødsfald i nærmeste familie.</w:t>
      </w:r>
      <w:r w:rsidR="00937A6E">
        <w:t xml:space="preserve"> </w:t>
      </w:r>
      <w:r w:rsidR="00CF0532">
        <w:t xml:space="preserve">Igennem </w:t>
      </w:r>
      <w:r w:rsidR="00937A6E">
        <w:t>udvalgte</w:t>
      </w:r>
      <w:r w:rsidR="00CF0532">
        <w:t xml:space="preserve"> spørgsmål eller filtreringsvalg formes disse guides </w:t>
      </w:r>
      <w:r w:rsidR="00B50EA1">
        <w:t>til at være en vejviser i det offentlige med udgangspunkt i brugerens målsætninger</w:t>
      </w:r>
      <w:r w:rsidR="00937A6E">
        <w:t xml:space="preserve"> og konkrete situation</w:t>
      </w:r>
      <w:r w:rsidR="00B50EA1">
        <w:t xml:space="preserve">. </w:t>
      </w:r>
      <w:r w:rsidR="00937A6E">
        <w:t xml:space="preserve">De borgervendte guides </w:t>
      </w:r>
      <w:r w:rsidR="00CD69FE">
        <w:t>er i nogen grad en blanding mellem vejvisere, tjeklister og genveje mellem selvbetjeningsløsninger</w:t>
      </w:r>
      <w:r w:rsidR="00BD0C9E">
        <w:t>.</w:t>
      </w:r>
      <w:r w:rsidR="00CD69FE">
        <w:t xml:space="preserve"> </w:t>
      </w:r>
    </w:p>
    <w:p w14:paraId="48ED11AC" w14:textId="77777777" w:rsidR="00D9465E" w:rsidRDefault="00D9465E" w:rsidP="00D9465E">
      <w:r w:rsidRPr="00330385">
        <w:t xml:space="preserve">Projekterne </w:t>
      </w:r>
      <w:r>
        <w:t>har så forskellige forudsætninger</w:t>
      </w:r>
      <w:r w:rsidR="00DC3ACD">
        <w:t>,</w:t>
      </w:r>
      <w:r>
        <w:t xml:space="preserve"> at de ikke kan behandles som et enkelt projekt i </w:t>
      </w:r>
      <w:proofErr w:type="spellStart"/>
      <w:r>
        <w:t>review</w:t>
      </w:r>
      <w:proofErr w:type="spellEnd"/>
      <w:r>
        <w:t xml:space="preserve">-sammenhæng. </w:t>
      </w:r>
    </w:p>
    <w:p w14:paraId="49CBD1D2" w14:textId="77777777" w:rsidR="00170E77" w:rsidRDefault="00D9465E" w:rsidP="00D9465E">
      <w:r>
        <w:lastRenderedPageBreak/>
        <w:t xml:space="preserve">Fordi projektet om guides til virksomheder skal skabe sammenhæng mellem selvbetjeningsløsninger på samme platform og under samme </w:t>
      </w:r>
      <w:proofErr w:type="spellStart"/>
      <w:r>
        <w:t>governance</w:t>
      </w:r>
      <w:proofErr w:type="spellEnd"/>
      <w:r w:rsidR="00170E77">
        <w:t>,</w:t>
      </w:r>
      <w:r>
        <w:t xml:space="preserve"> er der gode muligheder for at afprøve guides med mere sofistikerede tekniske integrationer til selvbetjeningsløsninger. </w:t>
      </w:r>
    </w:p>
    <w:p w14:paraId="2B3D3311" w14:textId="7FB00CB7" w:rsidR="00D9465E" w:rsidRDefault="00D9465E" w:rsidP="00D9465E">
      <w:r>
        <w:t>De borgerrettede guides skal pege på selvbetjeningsløsninger på tværs af ministerområder og domæner, og det giver projektet et andet udgangspunkt. Det kan til gengæld munde ud i en guidetype</w:t>
      </w:r>
      <w:r w:rsidR="00DC3ACD">
        <w:t>,</w:t>
      </w:r>
      <w:r>
        <w:t xml:space="preserve"> der har langt bredere anvendelsesmuligheder på lidt længere sigt. </w:t>
      </w:r>
    </w:p>
    <w:p w14:paraId="65DCDB7B" w14:textId="0318C01A" w:rsidR="00937A6E" w:rsidRPr="00250F19" w:rsidRDefault="00170E77">
      <w:r>
        <w:t xml:space="preserve">Derfor er er anbefalingerne målrettet enten det ene projekt eller begge projekter. </w:t>
      </w:r>
      <w:r w:rsidR="00C86559">
        <w:t>Anbefaling 1</w:t>
      </w:r>
      <w:r w:rsidR="00D9465E">
        <w:t xml:space="preserve"> e</w:t>
      </w:r>
      <w:r>
        <w:t>r</w:t>
      </w:r>
      <w:r w:rsidR="00D9465E">
        <w:t xml:space="preserve"> rettet til projektet</w:t>
      </w:r>
      <w:r w:rsidR="00DC3ACD">
        <w:t>,</w:t>
      </w:r>
      <w:r w:rsidR="00D9465E">
        <w:t xml:space="preserve"> der laver borgerrettede guides</w:t>
      </w:r>
      <w:r w:rsidR="00DC3ACD">
        <w:t>,</w:t>
      </w:r>
      <w:r w:rsidR="00D9465E">
        <w:t xml:space="preserve"> og anbefaling </w:t>
      </w:r>
      <w:r w:rsidR="00C86559">
        <w:t>2</w:t>
      </w:r>
      <w:r w:rsidR="00D9465E">
        <w:t xml:space="preserve">-6 er anbefalinger til begge projekter, som </w:t>
      </w:r>
      <w:r w:rsidR="00DC3ACD">
        <w:t>projekterne</w:t>
      </w:r>
      <w:r w:rsidR="00D9465E">
        <w:t xml:space="preserve"> med fordel kan samarbejde om at løfte.</w:t>
      </w:r>
      <w:bookmarkStart w:id="9" w:name="_lc8qpab8doa6" w:colFirst="0" w:colLast="0"/>
      <w:bookmarkEnd w:id="9"/>
      <w:r w:rsidR="00250F19">
        <w:t xml:space="preserve"> </w:t>
      </w:r>
    </w:p>
    <w:p w14:paraId="64DCE263" w14:textId="77777777" w:rsidR="007B6E2E" w:rsidRPr="00F81E36" w:rsidRDefault="00E80DA7">
      <w:pPr>
        <w:pStyle w:val="Overskrift1"/>
      </w:pPr>
      <w:bookmarkStart w:id="10" w:name="_Toc11934801"/>
      <w:r w:rsidRPr="00F81E36">
        <w:t>Anbefalinger</w:t>
      </w:r>
      <w:bookmarkEnd w:id="10"/>
    </w:p>
    <w:p w14:paraId="08E5CE9A" w14:textId="77777777" w:rsidR="007B6E2E" w:rsidRDefault="00E80DA7">
      <w:proofErr w:type="spellStart"/>
      <w:r w:rsidRPr="00F81E36">
        <w:t>Reviewet</w:t>
      </w:r>
      <w:proofErr w:type="spellEnd"/>
      <w:r w:rsidRPr="00F81E36">
        <w:t xml:space="preserve"> af </w:t>
      </w:r>
      <w:r w:rsidR="009E0191" w:rsidRPr="007A0342">
        <w:rPr>
          <w:i/>
        </w:rPr>
        <w:t xml:space="preserve">Initiativ </w:t>
      </w:r>
      <w:r w:rsidR="00F81E36" w:rsidRPr="007A0342">
        <w:rPr>
          <w:i/>
        </w:rPr>
        <w:t>1</w:t>
      </w:r>
      <w:r w:rsidR="009E0191" w:rsidRPr="007A0342">
        <w:rPr>
          <w:i/>
        </w:rPr>
        <w:t>.</w:t>
      </w:r>
      <w:r w:rsidR="00F81E36" w:rsidRPr="007A0342">
        <w:rPr>
          <w:i/>
        </w:rPr>
        <w:t>1</w:t>
      </w:r>
      <w:r w:rsidR="009E0191" w:rsidRPr="007A0342">
        <w:rPr>
          <w:i/>
        </w:rPr>
        <w:t xml:space="preserve"> </w:t>
      </w:r>
      <w:r w:rsidR="00F81E36" w:rsidRPr="007A0342">
        <w:rPr>
          <w:i/>
        </w:rPr>
        <w:t>Mere sammenhængende brugerrejser</w:t>
      </w:r>
      <w:r w:rsidRPr="00F81E36">
        <w:t xml:space="preserve"> har identificeret en række anbefalinger, der fremstår i to kategorier:</w:t>
      </w:r>
    </w:p>
    <w:p w14:paraId="7333AD3A" w14:textId="77777777" w:rsidR="007B6E2E" w:rsidRDefault="00E80DA7" w:rsidP="006E21E5">
      <w:pPr>
        <w:numPr>
          <w:ilvl w:val="0"/>
          <w:numId w:val="1"/>
        </w:numPr>
        <w:spacing w:after="0"/>
        <w:ind w:left="567" w:hanging="567"/>
        <w:contextualSpacing/>
      </w:pPr>
      <w:r>
        <w:t xml:space="preserve">Anbefalinger til det nuværende projekt: Herunder fremstår anbefalinger til projektet i dets nuværende og kommende faser, som det er præsenteret for </w:t>
      </w:r>
      <w:proofErr w:type="spellStart"/>
      <w:r>
        <w:t>reviewboardet</w:t>
      </w:r>
      <w:proofErr w:type="spellEnd"/>
      <w:r>
        <w:t>.</w:t>
      </w:r>
    </w:p>
    <w:p w14:paraId="20898E9F" w14:textId="77777777" w:rsidR="007B6E2E" w:rsidRDefault="00E80DA7" w:rsidP="006E21E5">
      <w:pPr>
        <w:numPr>
          <w:ilvl w:val="0"/>
          <w:numId w:val="1"/>
        </w:numPr>
        <w:spacing w:after="0"/>
        <w:ind w:left="567" w:hanging="567"/>
        <w:contextualSpacing/>
      </w:pPr>
      <w:r>
        <w:t xml:space="preserve">Tværgående anbefalinger: Disse anbefalinger identificeres af </w:t>
      </w:r>
      <w:proofErr w:type="spellStart"/>
      <w:r>
        <w:t>reviewboardet</w:t>
      </w:r>
      <w:proofErr w:type="spellEnd"/>
      <w:r>
        <w:t xml:space="preserve"> som centrale og relevante for projektets fremtidige succes, men samtidig af en sådan karakter, at disse udfordringer ikke kan løses af projektet isoleret set. </w:t>
      </w:r>
    </w:p>
    <w:p w14:paraId="583129AD" w14:textId="77777777" w:rsidR="007B6E2E" w:rsidRDefault="00E80DA7">
      <w:r>
        <w:br/>
        <w:t xml:space="preserve">For så vidt angår anbefalinger </w:t>
      </w:r>
      <w:r w:rsidR="00884D5E">
        <w:t>til det nuværende projekt</w:t>
      </w:r>
      <w:r>
        <w:t xml:space="preserve"> anmodes projektet om at </w:t>
      </w:r>
      <w:r w:rsidR="00EE1CD1">
        <w:t>imødekomme</w:t>
      </w:r>
      <w:r>
        <w:t xml:space="preserve"> disse ud fra følg-eller-forklar princippet </w:t>
      </w:r>
      <w:r w:rsidR="006E21E5">
        <w:t xml:space="preserve">i deres bemærkninger til </w:t>
      </w:r>
      <w:proofErr w:type="spellStart"/>
      <w:r w:rsidR="006E21E5">
        <w:t>review</w:t>
      </w:r>
      <w:r>
        <w:t>rapporten</w:t>
      </w:r>
      <w:proofErr w:type="spellEnd"/>
      <w:r>
        <w:t xml:space="preserve"> samlet i en handlingsplan. For</w:t>
      </w:r>
      <w:r w:rsidR="009C0C23">
        <w:t xml:space="preserve"> tværgående</w:t>
      </w:r>
      <w:r>
        <w:t xml:space="preserve"> anbefalinger, udarbejder sekretariatet for initiativ 8.1 beslutningsoplæg. Disse beslutningsoplæg indgår ligeledes i styregruppen for data og arkitekturs behandling af </w:t>
      </w:r>
      <w:proofErr w:type="spellStart"/>
      <w:r>
        <w:t>reviewet</w:t>
      </w:r>
      <w:proofErr w:type="spellEnd"/>
      <w:r>
        <w:t>.</w:t>
      </w:r>
    </w:p>
    <w:p w14:paraId="7118A95C" w14:textId="77777777" w:rsidR="007B6E2E" w:rsidRDefault="00E80DA7">
      <w:pPr>
        <w:pStyle w:val="Overskrift2"/>
      </w:pPr>
      <w:bookmarkStart w:id="11" w:name="_4d34og8" w:colFirst="0" w:colLast="0"/>
      <w:bookmarkStart w:id="12" w:name="_Toc11934802"/>
      <w:bookmarkEnd w:id="11"/>
      <w:r>
        <w:t>Anbefalinger til det nuværende projekt</w:t>
      </w:r>
      <w:bookmarkEnd w:id="12"/>
    </w:p>
    <w:p w14:paraId="5A26349E" w14:textId="0830B063" w:rsidR="00155B6B" w:rsidRDefault="00E80DA7">
      <w:pPr>
        <w:rPr>
          <w:b/>
        </w:rPr>
      </w:pPr>
      <w:r>
        <w:rPr>
          <w:b/>
        </w:rPr>
        <w:br/>
        <w:t xml:space="preserve">1. </w:t>
      </w:r>
      <w:r w:rsidR="00422C6B">
        <w:rPr>
          <w:b/>
        </w:rPr>
        <w:t>Det anbe</w:t>
      </w:r>
      <w:r w:rsidR="00155B6B">
        <w:rPr>
          <w:b/>
        </w:rPr>
        <w:t>fales, at projektet</w:t>
      </w:r>
      <w:r w:rsidR="00155B6B" w:rsidRPr="00155B6B">
        <w:rPr>
          <w:b/>
        </w:rPr>
        <w:t xml:space="preserve"> </w:t>
      </w:r>
      <w:r w:rsidR="00F35CA4">
        <w:rPr>
          <w:b/>
        </w:rPr>
        <w:t xml:space="preserve">om guides </w:t>
      </w:r>
      <w:r w:rsidR="005B28E1">
        <w:rPr>
          <w:b/>
        </w:rPr>
        <w:t>til borgere</w:t>
      </w:r>
      <w:r w:rsidR="00F35CA4">
        <w:rPr>
          <w:b/>
        </w:rPr>
        <w:t xml:space="preserve"> begrænser sit </w:t>
      </w:r>
      <w:proofErr w:type="spellStart"/>
      <w:r w:rsidR="00F35CA4">
        <w:rPr>
          <w:b/>
        </w:rPr>
        <w:t>scope</w:t>
      </w:r>
      <w:proofErr w:type="spellEnd"/>
      <w:r w:rsidR="00F35CA4">
        <w:rPr>
          <w:b/>
        </w:rPr>
        <w:t xml:space="preserve"> til ”vejviser” løsning. Når disse er etableret</w:t>
      </w:r>
      <w:r w:rsidR="00E21945">
        <w:rPr>
          <w:b/>
        </w:rPr>
        <w:t>,</w:t>
      </w:r>
      <w:r w:rsidR="00F35CA4">
        <w:rPr>
          <w:b/>
        </w:rPr>
        <w:t xml:space="preserve"> anbefales projektet at fokusere på udbredelse og afprøvning af guidekonceptet</w:t>
      </w:r>
      <w:r w:rsidR="00724C0E">
        <w:rPr>
          <w:b/>
        </w:rPr>
        <w:t xml:space="preserve"> for at indhente viden om konkrete behov</w:t>
      </w:r>
      <w:r w:rsidR="00F35CA4">
        <w:rPr>
          <w:b/>
        </w:rPr>
        <w:t>.</w:t>
      </w:r>
    </w:p>
    <w:p w14:paraId="06BD7788" w14:textId="3D81747D" w:rsidR="00256F93" w:rsidRDefault="00DB0E78" w:rsidP="00642505">
      <w:proofErr w:type="spellStart"/>
      <w:r w:rsidRPr="00DB0E78">
        <w:t>Reviewboardet</w:t>
      </w:r>
      <w:proofErr w:type="spellEnd"/>
      <w:r w:rsidRPr="00DB0E78">
        <w:t xml:space="preserve"> vurdere</w:t>
      </w:r>
      <w:r>
        <w:t>r,</w:t>
      </w:r>
      <w:r w:rsidRPr="00DB0E78">
        <w:t xml:space="preserve"> at</w:t>
      </w:r>
      <w:r>
        <w:t xml:space="preserve"> den borgervendte guideløsning først og fremmest skal etableres i det format, der peger på selvbetjeningsløsninger, uden at lave bagvedlæggende integrationer</w:t>
      </w:r>
      <w:r w:rsidR="0003512B">
        <w:t xml:space="preserve"> til dem</w:t>
      </w:r>
      <w:r>
        <w:t xml:space="preserve">. </w:t>
      </w:r>
      <w:proofErr w:type="spellStart"/>
      <w:r>
        <w:t>Reviewboardet</w:t>
      </w:r>
      <w:proofErr w:type="spellEnd"/>
      <w:r>
        <w:t xml:space="preserve"> mener</w:t>
      </w:r>
      <w:r w:rsidR="00E21945">
        <w:t>,</w:t>
      </w:r>
      <w:r>
        <w:t xml:space="preserve"> at der er værdi i at have en vejviser til offentlige selvbetjeningsløsninger</w:t>
      </w:r>
      <w:r w:rsidR="00E21945">
        <w:t>,</w:t>
      </w:r>
      <w:r>
        <w:t xml:space="preserve"> der er relevante i særlige situationer</w:t>
      </w:r>
      <w:r w:rsidR="00724C0E">
        <w:t>, og at der kan være stort potentiale i at åbne op for</w:t>
      </w:r>
      <w:r w:rsidR="00E21945">
        <w:t>,</w:t>
      </w:r>
      <w:r w:rsidR="00724C0E">
        <w:t xml:space="preserve"> at disse vejvisere kan udarbejdes og udstilles af en bredere kreds</w:t>
      </w:r>
      <w:r>
        <w:t xml:space="preserve">. </w:t>
      </w:r>
      <w:r w:rsidR="00256F93">
        <w:t>Den primære værdi for sådanne guides findes i at frasortere de irrelevante selvbetjeningsløsninger og pege direkte på de relevante. Dog er borgere selv i stand til at vurdere</w:t>
      </w:r>
      <w:r w:rsidR="00E21945">
        <w:t>,</w:t>
      </w:r>
      <w:r w:rsidR="00256F93">
        <w:t xml:space="preserve"> om noget er relevant for dem inden for de mere snævre grænser</w:t>
      </w:r>
      <w:r w:rsidR="00E21945">
        <w:t>,</w:t>
      </w:r>
      <w:r w:rsidR="00256F93">
        <w:t xml:space="preserve"> som en vejviser ville </w:t>
      </w:r>
      <w:r w:rsidR="00B4777C">
        <w:t>angive</w:t>
      </w:r>
      <w:r w:rsidR="00256F93">
        <w:t xml:space="preserve">. </w:t>
      </w:r>
      <w:r w:rsidR="00B4777C">
        <w:t>Med etableringen af den teknisk tynde løsning kan projektet hurtigere begynde at udbrede løsningen og</w:t>
      </w:r>
      <w:r w:rsidR="00724C0E">
        <w:t xml:space="preserve"> forstå behovet og</w:t>
      </w:r>
      <w:r w:rsidR="00B4777C">
        <w:t xml:space="preserve"> høste gevinster.</w:t>
      </w:r>
    </w:p>
    <w:p w14:paraId="2D9F3FA0" w14:textId="77777777" w:rsidR="00FD1AF1" w:rsidRDefault="00256F93" w:rsidP="00642505">
      <w:r>
        <w:t xml:space="preserve">Det er derfor ikke nødvendigt </w:t>
      </w:r>
      <w:r w:rsidR="00FF378C">
        <w:t xml:space="preserve">for at skabe værdi </w:t>
      </w:r>
      <w:r>
        <w:t xml:space="preserve">at etablere funktionalitet som </w:t>
      </w:r>
      <w:r w:rsidR="00724C0E">
        <w:t xml:space="preserve">teknisk </w:t>
      </w:r>
      <w:r>
        <w:t>integration mellem selvbetjeningsløsn</w:t>
      </w:r>
      <w:r w:rsidR="00E72BA7">
        <w:t xml:space="preserve">inger og guides eller </w:t>
      </w:r>
      <w:r>
        <w:t>personliggørelse af specifikke guides ud over en simpel filtrering</w:t>
      </w:r>
      <w:r w:rsidR="00B4777C">
        <w:t>. Hvis projektet</w:t>
      </w:r>
      <w:r w:rsidR="00E72BA7">
        <w:t xml:space="preserve"> skal skabe mere værdi, relativt til indsatsen, bør man arbejde med </w:t>
      </w:r>
      <w:r w:rsidR="00E72BA7">
        <w:lastRenderedPageBreak/>
        <w:t xml:space="preserve">sammenhængende selvbetjeningsforløb, der integreres på tværs af myndigheder. Dette er på forhånd skrevet ud af </w:t>
      </w:r>
      <w:proofErr w:type="spellStart"/>
      <w:r w:rsidR="00E72BA7">
        <w:t>scope</w:t>
      </w:r>
      <w:proofErr w:type="spellEnd"/>
      <w:r w:rsidR="00E72BA7">
        <w:t xml:space="preserve"> for de borgervendte guides.</w:t>
      </w:r>
    </w:p>
    <w:p w14:paraId="51589ED6" w14:textId="55D76F2B" w:rsidR="00611391" w:rsidRDefault="00546FB1" w:rsidP="00546FB1">
      <w:pPr>
        <w:rPr>
          <w:b/>
        </w:rPr>
      </w:pPr>
      <w:r>
        <w:rPr>
          <w:b/>
        </w:rPr>
        <w:t xml:space="preserve">2. Det anbefales, at </w:t>
      </w:r>
      <w:r w:rsidR="004C3680">
        <w:rPr>
          <w:b/>
        </w:rPr>
        <w:t>projekte</w:t>
      </w:r>
      <w:r w:rsidR="001B0B51">
        <w:rPr>
          <w:b/>
        </w:rPr>
        <w:t>rne</w:t>
      </w:r>
      <w:r w:rsidR="004C3680" w:rsidRPr="00155B6B">
        <w:rPr>
          <w:b/>
        </w:rPr>
        <w:t xml:space="preserve"> </w:t>
      </w:r>
      <w:r w:rsidR="001B0B51">
        <w:rPr>
          <w:b/>
        </w:rPr>
        <w:t>a</w:t>
      </w:r>
      <w:r w:rsidR="004665B3">
        <w:rPr>
          <w:b/>
        </w:rPr>
        <w:t>fdækker</w:t>
      </w:r>
      <w:r w:rsidR="00443996">
        <w:rPr>
          <w:b/>
        </w:rPr>
        <w:t>,</w:t>
      </w:r>
      <w:r w:rsidR="004665B3">
        <w:rPr>
          <w:b/>
        </w:rPr>
        <w:t xml:space="preserve"> om der er behov for</w:t>
      </w:r>
      <w:r w:rsidR="00443996">
        <w:rPr>
          <w:b/>
        </w:rPr>
        <w:t>,</w:t>
      </w:r>
      <w:r w:rsidR="004665B3">
        <w:rPr>
          <w:b/>
        </w:rPr>
        <w:t xml:space="preserve"> at </w:t>
      </w:r>
      <w:r w:rsidR="004C3680">
        <w:rPr>
          <w:b/>
        </w:rPr>
        <w:t xml:space="preserve">løsningen </w:t>
      </w:r>
      <w:r w:rsidR="004665B3">
        <w:rPr>
          <w:b/>
        </w:rPr>
        <w:t>understøtter</w:t>
      </w:r>
      <w:r w:rsidR="00443996">
        <w:rPr>
          <w:b/>
        </w:rPr>
        <w:t>,</w:t>
      </w:r>
      <w:r w:rsidR="004665B3">
        <w:rPr>
          <w:b/>
        </w:rPr>
        <w:t xml:space="preserve"> </w:t>
      </w:r>
      <w:r w:rsidR="004C3680">
        <w:rPr>
          <w:b/>
        </w:rPr>
        <w:t xml:space="preserve">at </w:t>
      </w:r>
      <w:r w:rsidR="00D9465E">
        <w:rPr>
          <w:b/>
        </w:rPr>
        <w:t>også NGO’er og andre interessegrupper kan udforme</w:t>
      </w:r>
      <w:r w:rsidR="004665B3">
        <w:rPr>
          <w:b/>
        </w:rPr>
        <w:t xml:space="preserve"> og udstille</w:t>
      </w:r>
      <w:r w:rsidR="00D9465E">
        <w:rPr>
          <w:b/>
        </w:rPr>
        <w:t xml:space="preserve"> guides</w:t>
      </w:r>
      <w:r w:rsidR="00F429DB">
        <w:rPr>
          <w:b/>
        </w:rPr>
        <w:t>.</w:t>
      </w:r>
      <w:r w:rsidR="004665B3">
        <w:rPr>
          <w:b/>
        </w:rPr>
        <w:t xml:space="preserve"> H</w:t>
      </w:r>
      <w:r w:rsidR="00BD19C7">
        <w:rPr>
          <w:b/>
        </w:rPr>
        <w:t>vis</w:t>
      </w:r>
      <w:r w:rsidR="004665B3">
        <w:rPr>
          <w:b/>
        </w:rPr>
        <w:t xml:space="preserve"> det er tilfældet</w:t>
      </w:r>
      <w:r w:rsidR="00443996">
        <w:rPr>
          <w:b/>
        </w:rPr>
        <w:t>,</w:t>
      </w:r>
      <w:r w:rsidR="004C3680">
        <w:rPr>
          <w:b/>
        </w:rPr>
        <w:t xml:space="preserve"> anbefales projektet at udtænke</w:t>
      </w:r>
      <w:r w:rsidR="00BD19C7">
        <w:rPr>
          <w:b/>
        </w:rPr>
        <w:t>,</w:t>
      </w:r>
      <w:r w:rsidR="004C3680">
        <w:rPr>
          <w:b/>
        </w:rPr>
        <w:t xml:space="preserve"> etablere</w:t>
      </w:r>
      <w:r w:rsidR="004665B3">
        <w:rPr>
          <w:b/>
        </w:rPr>
        <w:t xml:space="preserve"> eller udpege</w:t>
      </w:r>
      <w:r w:rsidR="004C3680">
        <w:rPr>
          <w:b/>
        </w:rPr>
        <w:t xml:space="preserve"> </w:t>
      </w:r>
      <w:r w:rsidR="004665B3">
        <w:rPr>
          <w:b/>
        </w:rPr>
        <w:t xml:space="preserve">et forum </w:t>
      </w:r>
      <w:r w:rsidR="004C3680">
        <w:rPr>
          <w:b/>
        </w:rPr>
        <w:t>for styring, samarbejde og genbrug af guides samt etablere enighed om</w:t>
      </w:r>
      <w:r w:rsidR="004436A4">
        <w:rPr>
          <w:b/>
        </w:rPr>
        <w:t>,</w:t>
      </w:r>
      <w:r w:rsidR="004C3680">
        <w:rPr>
          <w:b/>
        </w:rPr>
        <w:t xml:space="preserve"> hvordan man udstiller og </w:t>
      </w:r>
      <w:r w:rsidR="00F266EC">
        <w:rPr>
          <w:b/>
        </w:rPr>
        <w:t xml:space="preserve">deler </w:t>
      </w:r>
      <w:r w:rsidR="004C3680">
        <w:rPr>
          <w:b/>
        </w:rPr>
        <w:t>guides.</w:t>
      </w:r>
    </w:p>
    <w:p w14:paraId="4FD25D0B" w14:textId="48E8E914" w:rsidR="00E75515" w:rsidRDefault="001B0B51" w:rsidP="00E75515">
      <w:r>
        <w:t>Hvis d</w:t>
      </w:r>
      <w:r w:rsidR="00491430">
        <w:t xml:space="preserve">er </w:t>
      </w:r>
      <w:r>
        <w:t xml:space="preserve">skal </w:t>
      </w:r>
      <w:r w:rsidR="00491430">
        <w:t xml:space="preserve">skabes guides til </w:t>
      </w:r>
      <w:r>
        <w:t>mere end bare de indledende definerede</w:t>
      </w:r>
      <w:r w:rsidR="00491430">
        <w:t xml:space="preserve"> livssituationer</w:t>
      </w:r>
      <w:r w:rsidR="004436A4">
        <w:t>,</w:t>
      </w:r>
      <w:r w:rsidR="00491430">
        <w:t xml:space="preserve"> bør guides kunne udstilles på tværs af offentlige og private hjemmesider, og kunne etableres af både private og offentlige organisationer. Eksempelvis </w:t>
      </w:r>
      <w:r w:rsidR="004436A4">
        <w:t xml:space="preserve">kunne </w:t>
      </w:r>
      <w:r w:rsidR="00491430">
        <w:t>interesseorganisationer</w:t>
      </w:r>
      <w:r w:rsidR="00AF576E">
        <w:t xml:space="preserve"> eller banker</w:t>
      </w:r>
      <w:r w:rsidR="00491430">
        <w:t xml:space="preserve"> lave guides til deres specifikke medlemmer og </w:t>
      </w:r>
      <w:r w:rsidR="00AF576E">
        <w:t xml:space="preserve">give dem en bedre oplevelse med offentlige selvbetjeningsløsninger. Nogle organisationer </w:t>
      </w:r>
      <w:r w:rsidR="004436A4">
        <w:t xml:space="preserve">kunne </w:t>
      </w:r>
      <w:r w:rsidR="00AF576E">
        <w:t>endda have interesse i at blande private og offentlige selvbetjeningsløsninger i en guide.</w:t>
      </w:r>
      <w:r w:rsidR="00E75515">
        <w:t xml:space="preserve"> </w:t>
      </w:r>
    </w:p>
    <w:p w14:paraId="54485F03" w14:textId="71EEC6D5" w:rsidR="00491430" w:rsidRDefault="00E75515" w:rsidP="00305752">
      <w:r>
        <w:t>For at sikre de bedste muligheder for implementering og udbredelse af guidekonceptet</w:t>
      </w:r>
      <w:r w:rsidR="004436A4">
        <w:t>,</w:t>
      </w:r>
      <w:r>
        <w:t xml:space="preserve"> vurderer </w:t>
      </w:r>
      <w:proofErr w:type="spellStart"/>
      <w:r>
        <w:t>reviewboardet</w:t>
      </w:r>
      <w:proofErr w:type="spellEnd"/>
      <w:r w:rsidR="004436A4">
        <w:t>,</w:t>
      </w:r>
      <w:r>
        <w:t xml:space="preserve"> at guides </w:t>
      </w:r>
      <w:r w:rsidR="004436A4">
        <w:t xml:space="preserve">bør </w:t>
      </w:r>
      <w:r>
        <w:t>etablere</w:t>
      </w:r>
      <w:r w:rsidR="004436A4">
        <w:t>s</w:t>
      </w:r>
      <w:r>
        <w:t xml:space="preserve"> som </w:t>
      </w:r>
      <w:r w:rsidR="00F266EC">
        <w:t>en</w:t>
      </w:r>
      <w:r>
        <w:t xml:space="preserve"> del af den samlede digitale infrastruktur</w:t>
      </w:r>
      <w:r w:rsidR="00F266EC">
        <w:t>, med mulighed for udstilling</w:t>
      </w:r>
      <w:r>
        <w:t xml:space="preserve">. </w:t>
      </w:r>
      <w:r w:rsidR="00EA21F7">
        <w:t>For at sikre guidens genbrugelighed, bør projektet i den anledning udarbejde en beskrivelse af, hvordan integrationer og snitflader til en anden fælles infrastruktur etableres, og beskrive de snitflader, som ville skulle anvendes ved implementering af guiden på en vilkårlig hjemmeside. Guiden bør så vidt muligt fremstå afkoblet.</w:t>
      </w:r>
    </w:p>
    <w:p w14:paraId="7771E521" w14:textId="704EBAB5" w:rsidR="00AF576E" w:rsidRDefault="00AF576E" w:rsidP="00305752">
      <w:r>
        <w:t>For at sikre</w:t>
      </w:r>
      <w:r w:rsidR="004436A4">
        <w:t>,</w:t>
      </w:r>
      <w:r>
        <w:t xml:space="preserve"> at guides kan udstilles og genbruges</w:t>
      </w:r>
      <w:r w:rsidR="004436A4">
        <w:t>,</w:t>
      </w:r>
      <w:r>
        <w:t xml:space="preserve"> bør der laves et styringsforum for guides</w:t>
      </w:r>
      <w:r w:rsidR="004436A4">
        <w:t>,</w:t>
      </w:r>
      <w:r>
        <w:t xml:space="preserve"> der kan etablere retningslinjer for udstilling og udveksling af guides til selvbetjeningsløsninger.</w:t>
      </w:r>
      <w:r w:rsidR="006F3BF0">
        <w:t xml:space="preserve"> </w:t>
      </w:r>
      <w:r w:rsidR="00DB6EBC">
        <w:t>Forummet bør yderligere sikre</w:t>
      </w:r>
      <w:r w:rsidR="004436A4">
        <w:t>,</w:t>
      </w:r>
      <w:r w:rsidR="00DB6EBC">
        <w:t xml:space="preserve"> at der findes relevant vejledning om anvendelsen- og den tekniske implementering af </w:t>
      </w:r>
      <w:r w:rsidR="00A86F7C">
        <w:t>guides</w:t>
      </w:r>
      <w:r w:rsidR="00DB6EBC">
        <w:t>.</w:t>
      </w:r>
      <w:r w:rsidR="006F3BF0">
        <w:t xml:space="preserve"> </w:t>
      </w:r>
    </w:p>
    <w:p w14:paraId="67702A88" w14:textId="175DB029" w:rsidR="00305752" w:rsidRPr="00EA3C6F" w:rsidRDefault="00305752" w:rsidP="00305752">
      <w:pPr>
        <w:rPr>
          <w:b/>
        </w:rPr>
      </w:pPr>
      <w:r>
        <w:rPr>
          <w:b/>
        </w:rPr>
        <w:t xml:space="preserve">3. </w:t>
      </w:r>
      <w:r w:rsidRPr="00EA3C6F">
        <w:rPr>
          <w:b/>
        </w:rPr>
        <w:t xml:space="preserve">Det anbefales, at projekterne samarbejder om at lave en fælles </w:t>
      </w:r>
      <w:r w:rsidR="00D019D4">
        <w:rPr>
          <w:b/>
        </w:rPr>
        <w:t xml:space="preserve">logisk </w:t>
      </w:r>
      <w:r w:rsidR="001B0B51">
        <w:rPr>
          <w:b/>
        </w:rPr>
        <w:t>data</w:t>
      </w:r>
      <w:r w:rsidR="001B0B51" w:rsidRPr="00EA3C6F">
        <w:rPr>
          <w:b/>
        </w:rPr>
        <w:t xml:space="preserve">model </w:t>
      </w:r>
      <w:r w:rsidRPr="00EA3C6F">
        <w:rPr>
          <w:b/>
        </w:rPr>
        <w:t xml:space="preserve">for vejledning, guides og selvbetjening, </w:t>
      </w:r>
      <w:proofErr w:type="spellStart"/>
      <w:r w:rsidRPr="00EA3C6F">
        <w:rPr>
          <w:b/>
        </w:rPr>
        <w:t>mappet</w:t>
      </w:r>
      <w:proofErr w:type="spellEnd"/>
      <w:r w:rsidRPr="00EA3C6F">
        <w:rPr>
          <w:b/>
        </w:rPr>
        <w:t xml:space="preserve"> til relevante Grunddatamodeller. </w:t>
      </w:r>
    </w:p>
    <w:p w14:paraId="551C93DF" w14:textId="12FB19BC" w:rsidR="00305752" w:rsidRDefault="00305752" w:rsidP="00305752">
      <w:r w:rsidRPr="00EA3C6F">
        <w:t xml:space="preserve">Denne anbefaling bør løftes i koordination med den tværgående anbefaling om opdateringen af Referencearkitektur for </w:t>
      </w:r>
      <w:r w:rsidR="00E10358">
        <w:t>s</w:t>
      </w:r>
      <w:r w:rsidRPr="00EA3C6F">
        <w:t xml:space="preserve">elvbetjening, således at de relevante informationsmodeller er i overensstemmelse. </w:t>
      </w:r>
      <w:r w:rsidR="00C053B9">
        <w:t>Første skridt til at løfte anbefalingen kunne med fordel være at se nærmere på</w:t>
      </w:r>
      <w:r w:rsidR="00DC3ACD">
        <w:t xml:space="preserve"> </w:t>
      </w:r>
      <w:r w:rsidR="00BD19C7">
        <w:t>data</w:t>
      </w:r>
      <w:r w:rsidR="00C053B9">
        <w:t>modellen for spørgeguides</w:t>
      </w:r>
      <w:r w:rsidR="00394B93">
        <w:t xml:space="preserve"> i sundhedsdomænet fra HL7 FHIR</w:t>
      </w:r>
      <w:r w:rsidR="00C053B9">
        <w:t xml:space="preserve"> 4.0</w:t>
      </w:r>
      <w:r w:rsidR="00C053B9">
        <w:rPr>
          <w:rStyle w:val="Fodnotehenvisning"/>
        </w:rPr>
        <w:footnoteReference w:id="1"/>
      </w:r>
      <w:r w:rsidR="00C053B9">
        <w:t>.</w:t>
      </w:r>
      <w:r w:rsidRPr="00EA3C6F">
        <w:t xml:space="preserve"> </w:t>
      </w:r>
    </w:p>
    <w:p w14:paraId="4461C481" w14:textId="520C03EF" w:rsidR="000030B8" w:rsidRPr="00EA3C6F" w:rsidRDefault="000030B8" w:rsidP="00305752">
      <w:r>
        <w:t>Dette bør yderligere hjælpe projekterne til at koordinere fremadrettet arbejde, så projekterne kan læne sig op af hinanden ved beslutninger</w:t>
      </w:r>
      <w:r w:rsidR="004436A4">
        <w:t>,</w:t>
      </w:r>
      <w:r>
        <w:t xml:space="preserve"> der vedrører begge. </w:t>
      </w:r>
      <w:r w:rsidR="001B0B51">
        <w:t xml:space="preserve">Arbejdet med begrebsmodellen bør også munde ud i en </w:t>
      </w:r>
      <w:r>
        <w:t xml:space="preserve">fælles </w:t>
      </w:r>
      <w:r w:rsidR="001B0B51">
        <w:t xml:space="preserve">forståelse for </w:t>
      </w:r>
      <w:r>
        <w:t>begreber</w:t>
      </w:r>
      <w:r w:rsidR="004436A4">
        <w:t>,</w:t>
      </w:r>
      <w:r w:rsidR="001B0B51">
        <w:t xml:space="preserve"> der</w:t>
      </w:r>
      <w:r>
        <w:t xml:space="preserve"> bør indarbejdes i styringsdokumenter og lignende, så projekterne taler samme sprog og bedre kan understøtte hinandens beslutningsprocesser.</w:t>
      </w:r>
    </w:p>
    <w:p w14:paraId="75BC5151" w14:textId="77777777" w:rsidR="004C3680" w:rsidRDefault="00E52915" w:rsidP="00EA3C6F">
      <w:r>
        <w:rPr>
          <w:b/>
        </w:rPr>
        <w:t>4.</w:t>
      </w:r>
      <w:r w:rsidR="00EA3C6F" w:rsidRPr="00EA3C6F">
        <w:rPr>
          <w:b/>
        </w:rPr>
        <w:t xml:space="preserve"> Det anbefales, at projekterne samarbejder om at </w:t>
      </w:r>
      <w:r w:rsidR="00EA3C6F">
        <w:rPr>
          <w:b/>
        </w:rPr>
        <w:t>indsamle anbefalinger til krav til selvbetjeningsløsninger, som kan indgå i Referencearkitektur for selvbetjening.</w:t>
      </w:r>
    </w:p>
    <w:p w14:paraId="54888311" w14:textId="77777777" w:rsidR="00EA3C6F" w:rsidRPr="00EA3C6F" w:rsidRDefault="00EA3C6F" w:rsidP="00546FB1">
      <w:r w:rsidRPr="00EA3C6F">
        <w:t xml:space="preserve">Guideprojekterne har en </w:t>
      </w:r>
      <w:r>
        <w:t>mulighed for at lave systematiske indsamlinger af krav til selvbetjeningsløsninger</w:t>
      </w:r>
      <w:r w:rsidR="004436A4">
        <w:t>,</w:t>
      </w:r>
      <w:r>
        <w:t xml:space="preserve"> der skal indgå i et større sammenhængende forløb. </w:t>
      </w:r>
      <w:r w:rsidR="0036014F">
        <w:t xml:space="preserve">Derfor bør </w:t>
      </w:r>
      <w:r w:rsidR="00394B93">
        <w:t xml:space="preserve">identificerede </w:t>
      </w:r>
      <w:r w:rsidR="0036014F">
        <w:t>utilstrækkeligh</w:t>
      </w:r>
      <w:r w:rsidR="00394B93">
        <w:t>eder</w:t>
      </w:r>
      <w:r w:rsidR="0036014F">
        <w:t xml:space="preserve"> som manglende integration til relevante registre eller </w:t>
      </w:r>
      <w:r w:rsidR="0036014F">
        <w:lastRenderedPageBreak/>
        <w:t>utilstrækkelig evne til at overlevere sel</w:t>
      </w:r>
      <w:r w:rsidR="00394B93">
        <w:t>vbetjeningsforløb</w:t>
      </w:r>
      <w:r w:rsidR="004F5DA0">
        <w:t>, indsamles og overleveres til referencearkitektur for selvbetjening.</w:t>
      </w:r>
    </w:p>
    <w:p w14:paraId="1418F9B9" w14:textId="77777777" w:rsidR="00B02137" w:rsidRDefault="00E52915" w:rsidP="00546FB1">
      <w:pPr>
        <w:rPr>
          <w:b/>
        </w:rPr>
      </w:pPr>
      <w:r>
        <w:rPr>
          <w:b/>
        </w:rPr>
        <w:t>5</w:t>
      </w:r>
      <w:r w:rsidR="00E80DA7">
        <w:rPr>
          <w:b/>
        </w:rPr>
        <w:t xml:space="preserve">. </w:t>
      </w:r>
      <w:r w:rsidR="00422C6B">
        <w:rPr>
          <w:b/>
        </w:rPr>
        <w:t>Det anbefales, at</w:t>
      </w:r>
      <w:r w:rsidR="004C3680">
        <w:rPr>
          <w:b/>
        </w:rPr>
        <w:t xml:space="preserve"> begge</w:t>
      </w:r>
      <w:r w:rsidR="00422C6B">
        <w:rPr>
          <w:b/>
        </w:rPr>
        <w:t xml:space="preserve"> p</w:t>
      </w:r>
      <w:r w:rsidR="004C3680">
        <w:rPr>
          <w:b/>
        </w:rPr>
        <w:t>rojekter</w:t>
      </w:r>
      <w:r w:rsidR="00E80DA7">
        <w:rPr>
          <w:b/>
        </w:rPr>
        <w:t xml:space="preserve"> </w:t>
      </w:r>
      <w:r w:rsidR="00F429DB" w:rsidRPr="00F429DB">
        <w:rPr>
          <w:b/>
        </w:rPr>
        <w:t>udarbejde</w:t>
      </w:r>
      <w:r w:rsidR="00F429DB">
        <w:rPr>
          <w:b/>
        </w:rPr>
        <w:t>r</w:t>
      </w:r>
      <w:r w:rsidR="004C3680">
        <w:rPr>
          <w:b/>
        </w:rPr>
        <w:t xml:space="preserve"> en række sikkerhedsdokumenter, som kan skabe vished om</w:t>
      </w:r>
      <w:r w:rsidR="002D1C56">
        <w:rPr>
          <w:b/>
        </w:rPr>
        <w:t>,</w:t>
      </w:r>
      <w:r w:rsidR="004C3680">
        <w:rPr>
          <w:b/>
        </w:rPr>
        <w:t xml:space="preserve"> at alle væsentlige sikkerhedsaspekter er afdækket og håndteret.</w:t>
      </w:r>
    </w:p>
    <w:p w14:paraId="1D30D9D1" w14:textId="3B993BA1" w:rsidR="007B6E2E" w:rsidRDefault="008A3BC0">
      <w:proofErr w:type="spellStart"/>
      <w:r>
        <w:t>Revi</w:t>
      </w:r>
      <w:r w:rsidR="00C44F14">
        <w:t>ewboardet</w:t>
      </w:r>
      <w:proofErr w:type="spellEnd"/>
      <w:r w:rsidR="00C44F14">
        <w:t xml:space="preserve"> anbefaler</w:t>
      </w:r>
      <w:r w:rsidR="00E10358">
        <w:t>,</w:t>
      </w:r>
      <w:r w:rsidR="00C44F14">
        <w:t xml:space="preserve"> at projekterne</w:t>
      </w:r>
      <w:r>
        <w:t xml:space="preserve"> udarbejder en </w:t>
      </w:r>
      <w:r w:rsidR="004C3680">
        <w:t>Konsekvens</w:t>
      </w:r>
      <w:r w:rsidR="00C44F14">
        <w:t>analyse</w:t>
      </w:r>
      <w:r w:rsidR="004C3680">
        <w:t xml:space="preserve"> for privatlivet</w:t>
      </w:r>
      <w:r>
        <w:t xml:space="preserve"> (PIA)</w:t>
      </w:r>
      <w:r w:rsidR="00C44F14">
        <w:rPr>
          <w:rStyle w:val="Fodnotehenvisning"/>
        </w:rPr>
        <w:footnoteReference w:id="2"/>
      </w:r>
      <w:r w:rsidR="0065155B">
        <w:t>,</w:t>
      </w:r>
      <w:r>
        <w:t xml:space="preserve"> en Konsekvensanalyse vedrørende databeskyttelse (DPIA)</w:t>
      </w:r>
      <w:r w:rsidR="00C44F14">
        <w:rPr>
          <w:rStyle w:val="Fodnotehenvisning"/>
        </w:rPr>
        <w:footnoteReference w:id="3"/>
      </w:r>
      <w:r>
        <w:t xml:space="preserve">, </w:t>
      </w:r>
      <w:r w:rsidR="0065155B">
        <w:t>samt et</w:t>
      </w:r>
      <w:r w:rsidR="00EF3F82">
        <w:t xml:space="preserve"> </w:t>
      </w:r>
      <w:r w:rsidR="0065155B">
        <w:t xml:space="preserve">Statement of </w:t>
      </w:r>
      <w:proofErr w:type="spellStart"/>
      <w:r w:rsidR="0065155B">
        <w:t>Applicability</w:t>
      </w:r>
      <w:proofErr w:type="spellEnd"/>
      <w:r w:rsidR="0065155B">
        <w:t xml:space="preserve"> for </w:t>
      </w:r>
      <w:r w:rsidR="001A46D7" w:rsidRPr="00C44F14">
        <w:t>ISO27001</w:t>
      </w:r>
      <w:r w:rsidR="0065155B" w:rsidRPr="00C44F14">
        <w:rPr>
          <w:rStyle w:val="Fodnotehenvisning"/>
        </w:rPr>
        <w:footnoteReference w:id="4"/>
      </w:r>
      <w:r w:rsidR="00DB6EBC">
        <w:t xml:space="preserve"> suppleret af en Risikovurdering</w:t>
      </w:r>
      <w:r w:rsidR="00DB6EBC">
        <w:rPr>
          <w:rStyle w:val="Fodnotehenvisning"/>
        </w:rPr>
        <w:footnoteReference w:id="5"/>
      </w:r>
      <w:r w:rsidR="0065155B" w:rsidRPr="00C44F14">
        <w:t xml:space="preserve">. </w:t>
      </w:r>
      <w:r w:rsidR="00C44F14">
        <w:t>Dette gøres med henblik på at afklare</w:t>
      </w:r>
      <w:r w:rsidR="00E10358">
        <w:t>,</w:t>
      </w:r>
      <w:r w:rsidR="00C44F14">
        <w:t xml:space="preserve"> hvor ansvaret for informationssikkerheden bør placeres, og om dette har nogen påvirkning på projekternes udformning. Det forventes at være en relativt overskuelig opgave for projekter af denne størrelse og kan være med til at skabe </w:t>
      </w:r>
      <w:r w:rsidR="00305752">
        <w:t>et vigtigt udgangspunkt for konsekvenserne af forskellige arkitekturvalg.</w:t>
      </w:r>
    </w:p>
    <w:p w14:paraId="7620F5D3" w14:textId="643DBBCD" w:rsidR="007B6E2E" w:rsidRDefault="00E52915">
      <w:pPr>
        <w:rPr>
          <w:b/>
        </w:rPr>
      </w:pPr>
      <w:r>
        <w:rPr>
          <w:b/>
        </w:rPr>
        <w:t>6</w:t>
      </w:r>
      <w:r w:rsidR="00E80DA7">
        <w:rPr>
          <w:b/>
        </w:rPr>
        <w:t xml:space="preserve">. </w:t>
      </w:r>
      <w:r w:rsidR="00422C6B" w:rsidRPr="00E52915">
        <w:rPr>
          <w:b/>
        </w:rPr>
        <w:t>Det anbefales, at p</w:t>
      </w:r>
      <w:r w:rsidR="00C053B9" w:rsidRPr="00E52915">
        <w:rPr>
          <w:b/>
        </w:rPr>
        <w:t xml:space="preserve">rojekterne </w:t>
      </w:r>
      <w:r w:rsidR="002D1C56">
        <w:rPr>
          <w:b/>
        </w:rPr>
        <w:t>harmonisere</w:t>
      </w:r>
      <w:r w:rsidR="00DC3ACD">
        <w:rPr>
          <w:b/>
        </w:rPr>
        <w:t>r</w:t>
      </w:r>
      <w:r w:rsidR="00C053B9" w:rsidRPr="00E52915">
        <w:rPr>
          <w:b/>
        </w:rPr>
        <w:t xml:space="preserve"> deres komponentdiagrammer og i øvrigt følger FDA</w:t>
      </w:r>
      <w:r w:rsidR="00E10358">
        <w:rPr>
          <w:b/>
        </w:rPr>
        <w:t>-</w:t>
      </w:r>
      <w:r w:rsidR="00C053B9" w:rsidRPr="00E52915">
        <w:rPr>
          <w:b/>
        </w:rPr>
        <w:t>vejledningen til dokumentation og formidling af arkitektur for alle arkitekturniveauer</w:t>
      </w:r>
      <w:r w:rsidR="00E10358">
        <w:rPr>
          <w:b/>
        </w:rPr>
        <w:t>,</w:t>
      </w:r>
      <w:r w:rsidR="00DB6EBC">
        <w:rPr>
          <w:b/>
        </w:rPr>
        <w:t xml:space="preserve"> der beskrives</w:t>
      </w:r>
      <w:r w:rsidR="00C053B9" w:rsidRPr="00E52915">
        <w:rPr>
          <w:b/>
        </w:rPr>
        <w:t>, samt benytter de aftale begreber i FDA referencearkitekture</w:t>
      </w:r>
      <w:r w:rsidR="00DC3ACD">
        <w:rPr>
          <w:b/>
        </w:rPr>
        <w:t>r</w:t>
      </w:r>
      <w:r w:rsidR="00C053B9" w:rsidRPr="00E52915">
        <w:rPr>
          <w:b/>
        </w:rPr>
        <w:t>ne.</w:t>
      </w:r>
      <w:r w:rsidR="00C053B9">
        <w:rPr>
          <w:b/>
        </w:rPr>
        <w:t xml:space="preserve"> </w:t>
      </w:r>
    </w:p>
    <w:p w14:paraId="698383C1" w14:textId="3EDA8ECB" w:rsidR="00E52915" w:rsidRDefault="00C053B9" w:rsidP="00164E24">
      <w:r>
        <w:t>Forskellen i modelleringen og sprogbruget mellem projekterne gør det svært at sammenligne dem og dele viden og erfaringer på tværs af initiativet. Det besværliggør forståelsen af sammenhængen mellem projekternes koncepter</w:t>
      </w:r>
      <w:r w:rsidR="002D1C56">
        <w:t xml:space="preserve"> unødigt</w:t>
      </w:r>
      <w:r>
        <w:t xml:space="preserve"> og begrænser dermed mulighederne for at</w:t>
      </w:r>
      <w:r w:rsidR="002D1C56">
        <w:t xml:space="preserve"> samarbejde hensigtsmæssigt på tværs og</w:t>
      </w:r>
      <w:r>
        <w:t xml:space="preserve"> give kvalificeret indspil til</w:t>
      </w:r>
      <w:r w:rsidR="00E52915">
        <w:t xml:space="preserve"> en opdatering til Referencearkitektur for selvbetjening.</w:t>
      </w:r>
    </w:p>
    <w:p w14:paraId="6B59F6FD" w14:textId="77777777" w:rsidR="001E48B6" w:rsidRDefault="001E48B6" w:rsidP="001E48B6">
      <w:pPr>
        <w:pStyle w:val="Overskrift2"/>
      </w:pPr>
      <w:bookmarkStart w:id="13" w:name="_Toc11934803"/>
      <w:r>
        <w:t>Tværgående Anbefalinger</w:t>
      </w:r>
      <w:bookmarkEnd w:id="13"/>
      <w:r>
        <w:t xml:space="preserve"> </w:t>
      </w:r>
    </w:p>
    <w:p w14:paraId="756531DB" w14:textId="77777777" w:rsidR="001E48B6" w:rsidRPr="00E52915" w:rsidRDefault="001E48B6">
      <w:pPr>
        <w:rPr>
          <w:b/>
        </w:rPr>
      </w:pPr>
      <w:r>
        <w:br/>
      </w:r>
      <w:r w:rsidR="00E52915" w:rsidRPr="00FD1AF1">
        <w:rPr>
          <w:b/>
        </w:rPr>
        <w:t>7</w:t>
      </w:r>
      <w:r w:rsidRPr="00FD1AF1">
        <w:rPr>
          <w:b/>
        </w:rPr>
        <w:t xml:space="preserve">. </w:t>
      </w:r>
      <w:r w:rsidR="00E52915" w:rsidRPr="00FD1AF1">
        <w:rPr>
          <w:b/>
        </w:rPr>
        <w:t>Det anbefales</w:t>
      </w:r>
      <w:r w:rsidR="007C2AFA" w:rsidRPr="00FD1AF1">
        <w:rPr>
          <w:b/>
        </w:rPr>
        <w:t>,</w:t>
      </w:r>
      <w:r w:rsidR="00E52915" w:rsidRPr="00FD1AF1">
        <w:rPr>
          <w:b/>
        </w:rPr>
        <w:t xml:space="preserve"> at referencearkitektur for selvbetjening udvides og</w:t>
      </w:r>
      <w:r w:rsidR="00E52915">
        <w:rPr>
          <w:b/>
        </w:rPr>
        <w:t xml:space="preserve"> opdateres</w:t>
      </w:r>
      <w:r w:rsidR="007C2AFA">
        <w:rPr>
          <w:b/>
        </w:rPr>
        <w:t>.</w:t>
      </w:r>
    </w:p>
    <w:p w14:paraId="463698C4" w14:textId="77777777" w:rsidR="00BA2C92" w:rsidRDefault="007C2AFA">
      <w:r>
        <w:t xml:space="preserve">I forbindelse med </w:t>
      </w:r>
      <w:proofErr w:type="spellStart"/>
      <w:r>
        <w:t>arkitekturreview</w:t>
      </w:r>
      <w:proofErr w:type="spellEnd"/>
      <w:r>
        <w:t xml:space="preserve"> af guideprojekterne under initiativ 1.1, er det bl</w:t>
      </w:r>
      <w:r w:rsidR="001D03D1">
        <w:t>e</w:t>
      </w:r>
      <w:r>
        <w:t>vet tydeligt</w:t>
      </w:r>
      <w:r w:rsidR="00DC3ACD">
        <w:t>,</w:t>
      </w:r>
      <w:r>
        <w:t xml:space="preserve"> at der er </w:t>
      </w:r>
      <w:r w:rsidR="001D03D1">
        <w:t>behov for en opdatering af referencearkitekturen for selvbetjening. Opdateringen af referencearkitekturen bør forholde sig til:</w:t>
      </w:r>
    </w:p>
    <w:p w14:paraId="378F7AEF" w14:textId="77777777" w:rsidR="001D03D1" w:rsidRDefault="001D03D1" w:rsidP="001D03D1">
      <w:pPr>
        <w:pStyle w:val="Listeafsnit"/>
        <w:numPr>
          <w:ilvl w:val="0"/>
          <w:numId w:val="5"/>
        </w:numPr>
      </w:pPr>
      <w:r>
        <w:t>Et mønster for vejledninger og guides</w:t>
      </w:r>
      <w:r w:rsidR="00DC3ACD">
        <w:t>,</w:t>
      </w:r>
      <w:r>
        <w:t xml:space="preserve"> der kobles til en eller flere selvbetjeningsløsninger</w:t>
      </w:r>
    </w:p>
    <w:p w14:paraId="166BF39A" w14:textId="77777777" w:rsidR="001D03D1" w:rsidRDefault="001D03D1" w:rsidP="001D03D1">
      <w:pPr>
        <w:pStyle w:val="Listeafsnit"/>
        <w:numPr>
          <w:ilvl w:val="0"/>
          <w:numId w:val="5"/>
        </w:numPr>
      </w:pPr>
      <w:r>
        <w:t>Etableringen af en fælles informationsmodel for overlappet mellem selvbetjeningsløsninger og grunddata</w:t>
      </w:r>
    </w:p>
    <w:p w14:paraId="466D0714" w14:textId="77777777" w:rsidR="001D03D1" w:rsidRDefault="00FD1AF1" w:rsidP="001D03D1">
      <w:pPr>
        <w:pStyle w:val="Listeafsnit"/>
        <w:numPr>
          <w:ilvl w:val="0"/>
          <w:numId w:val="5"/>
        </w:numPr>
      </w:pPr>
      <w:r>
        <w:t>Ansvarsfordelingen for tværgående brugerrejser, og disses eventuelle personliggørelse.</w:t>
      </w:r>
    </w:p>
    <w:p w14:paraId="5FB56394" w14:textId="77777777" w:rsidR="007C2AFA" w:rsidRPr="00BA2C92" w:rsidRDefault="007C2AFA"/>
    <w:sectPr w:rsidR="007C2AFA" w:rsidRPr="00BA2C92">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0" w:footer="720"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EE2CB1" w16cid:durableId="20277D50"/>
  <w16cid:commentId w16cid:paraId="0A6A0E70" w16cid:durableId="20277A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D6011" w14:textId="77777777" w:rsidR="00B9246C" w:rsidRDefault="00B9246C">
      <w:pPr>
        <w:spacing w:after="0" w:line="240" w:lineRule="auto"/>
      </w:pPr>
      <w:r>
        <w:separator/>
      </w:r>
    </w:p>
  </w:endnote>
  <w:endnote w:type="continuationSeparator" w:id="0">
    <w:p w14:paraId="5C09D31F" w14:textId="77777777" w:rsidR="00B9246C" w:rsidRDefault="00B9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FC94" w14:textId="77777777" w:rsidR="005570EE" w:rsidRDefault="005570E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135AC" w14:textId="77777777" w:rsidR="00AF54E9" w:rsidRPr="005570EE" w:rsidRDefault="00AF54E9" w:rsidP="005570E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8513" w14:textId="77777777" w:rsidR="005570EE" w:rsidRDefault="005570E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E3C2C" w14:textId="77777777" w:rsidR="00B9246C" w:rsidRDefault="00B9246C">
      <w:pPr>
        <w:spacing w:after="0" w:line="240" w:lineRule="auto"/>
      </w:pPr>
      <w:r>
        <w:separator/>
      </w:r>
    </w:p>
  </w:footnote>
  <w:footnote w:type="continuationSeparator" w:id="0">
    <w:p w14:paraId="7115A7FE" w14:textId="77777777" w:rsidR="00B9246C" w:rsidRDefault="00B9246C">
      <w:pPr>
        <w:spacing w:after="0" w:line="240" w:lineRule="auto"/>
      </w:pPr>
      <w:r>
        <w:continuationSeparator/>
      </w:r>
    </w:p>
  </w:footnote>
  <w:footnote w:id="1">
    <w:p w14:paraId="3318B815" w14:textId="77777777" w:rsidR="00C053B9" w:rsidRDefault="00C053B9">
      <w:pPr>
        <w:pStyle w:val="Fodnotetekst"/>
      </w:pPr>
      <w:r>
        <w:rPr>
          <w:rStyle w:val="Fodnotehenvisning"/>
        </w:rPr>
        <w:footnoteRef/>
      </w:r>
      <w:r>
        <w:t xml:space="preserve"> </w:t>
      </w:r>
      <w:hyperlink r:id="rId1" w:history="1">
        <w:r>
          <w:rPr>
            <w:rStyle w:val="Hyperlink"/>
          </w:rPr>
          <w:t>https://www.hl7.org/fhir/questionnaire.html</w:t>
        </w:r>
      </w:hyperlink>
    </w:p>
  </w:footnote>
  <w:footnote w:id="2">
    <w:p w14:paraId="565AD7D7" w14:textId="77777777" w:rsidR="00C44F14" w:rsidRDefault="00C44F14">
      <w:pPr>
        <w:pStyle w:val="Fodnotetekst"/>
      </w:pPr>
      <w:r>
        <w:rPr>
          <w:rStyle w:val="Fodnotehenvisning"/>
        </w:rPr>
        <w:footnoteRef/>
      </w:r>
      <w:r>
        <w:t xml:space="preserve"> </w:t>
      </w:r>
      <w:hyperlink r:id="rId2" w:history="1">
        <w:r>
          <w:rPr>
            <w:rStyle w:val="Hyperlink"/>
          </w:rPr>
          <w:t>https://www.datatilsynet.dk/media/6563/konsekvensanalyse.pdf</w:t>
        </w:r>
      </w:hyperlink>
    </w:p>
  </w:footnote>
  <w:footnote w:id="3">
    <w:p w14:paraId="7617479E" w14:textId="77777777" w:rsidR="00C44F14" w:rsidRDefault="00C44F14">
      <w:pPr>
        <w:pStyle w:val="Fodnotetekst"/>
      </w:pPr>
      <w:r>
        <w:rPr>
          <w:rStyle w:val="Fodnotehenvisning"/>
        </w:rPr>
        <w:footnoteRef/>
      </w:r>
      <w:r>
        <w:t xml:space="preserve"> </w:t>
      </w:r>
      <w:hyperlink r:id="rId3" w:history="1">
        <w:r>
          <w:rPr>
            <w:rStyle w:val="Hyperlink"/>
          </w:rPr>
          <w:t>https://www.datatilsynet.dk/media/6839/konsekvensanalyser-vedroerende-databeskyttelse-dpia-wp248.pdf</w:t>
        </w:r>
      </w:hyperlink>
    </w:p>
  </w:footnote>
  <w:footnote w:id="4">
    <w:p w14:paraId="7623638B" w14:textId="77777777" w:rsidR="0065155B" w:rsidRDefault="0065155B">
      <w:pPr>
        <w:pStyle w:val="Fodnotetekst"/>
      </w:pPr>
      <w:r>
        <w:rPr>
          <w:rStyle w:val="Fodnotehenvisning"/>
        </w:rPr>
        <w:footnoteRef/>
      </w:r>
      <w:r>
        <w:t xml:space="preserve"> </w:t>
      </w:r>
      <w:hyperlink r:id="rId4" w:history="1">
        <w:r>
          <w:rPr>
            <w:rStyle w:val="Hyperlink"/>
          </w:rPr>
          <w:t>https://sikkerdigital.dk/myndighed/ledelsessystem/soa-dokumentet/</w:t>
        </w:r>
      </w:hyperlink>
    </w:p>
  </w:footnote>
  <w:footnote w:id="5">
    <w:p w14:paraId="46AEC21C" w14:textId="77777777" w:rsidR="00DB6EBC" w:rsidRDefault="00DB6EBC">
      <w:pPr>
        <w:pStyle w:val="Fodnotetekst"/>
      </w:pPr>
      <w:r>
        <w:rPr>
          <w:rStyle w:val="Fodnotehenvisning"/>
        </w:rPr>
        <w:footnoteRef/>
      </w:r>
      <w:r>
        <w:t xml:space="preserve"> </w:t>
      </w:r>
      <w:hyperlink r:id="rId5" w:history="1">
        <w:r>
          <w:rPr>
            <w:rStyle w:val="Hyperlink"/>
          </w:rPr>
          <w:t>https://sikkerdigital.dk/myndighed/risikostyring/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A2348" w14:textId="77777777" w:rsidR="005570EE" w:rsidRDefault="005570E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CC694" w14:textId="77777777" w:rsidR="00AF54E9" w:rsidRPr="005570EE" w:rsidRDefault="00AF54E9" w:rsidP="005570E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14B8" w14:textId="77777777" w:rsidR="005570EE" w:rsidRDefault="005570E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97C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79C604E"/>
    <w:multiLevelType w:val="multilevel"/>
    <w:tmpl w:val="C6449706"/>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29717E18"/>
    <w:multiLevelType w:val="multilevel"/>
    <w:tmpl w:val="4B3ED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F1857BC"/>
    <w:multiLevelType w:val="hybridMultilevel"/>
    <w:tmpl w:val="D06EC7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A990FE9"/>
    <w:multiLevelType w:val="hybridMultilevel"/>
    <w:tmpl w:val="5B10D41E"/>
    <w:lvl w:ilvl="0" w:tplc="B0F2C238">
      <w:start w:val="4"/>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2E"/>
    <w:rsid w:val="00001F1D"/>
    <w:rsid w:val="000030B8"/>
    <w:rsid w:val="00026761"/>
    <w:rsid w:val="0003512B"/>
    <w:rsid w:val="0004424C"/>
    <w:rsid w:val="000A1FDB"/>
    <w:rsid w:val="000C799C"/>
    <w:rsid w:val="00114216"/>
    <w:rsid w:val="00116D8E"/>
    <w:rsid w:val="00143368"/>
    <w:rsid w:val="0014465B"/>
    <w:rsid w:val="00144B04"/>
    <w:rsid w:val="00155B6B"/>
    <w:rsid w:val="00163FDA"/>
    <w:rsid w:val="00164E24"/>
    <w:rsid w:val="00170E77"/>
    <w:rsid w:val="00171205"/>
    <w:rsid w:val="001A13A8"/>
    <w:rsid w:val="001A46D7"/>
    <w:rsid w:val="001B0B51"/>
    <w:rsid w:val="001B7B6A"/>
    <w:rsid w:val="001D03D1"/>
    <w:rsid w:val="001E264B"/>
    <w:rsid w:val="001E48B6"/>
    <w:rsid w:val="001F0775"/>
    <w:rsid w:val="001F2E7D"/>
    <w:rsid w:val="001F4188"/>
    <w:rsid w:val="001F52FD"/>
    <w:rsid w:val="00210E7D"/>
    <w:rsid w:val="00216C1C"/>
    <w:rsid w:val="00220BAE"/>
    <w:rsid w:val="002274E8"/>
    <w:rsid w:val="002336AA"/>
    <w:rsid w:val="00240E95"/>
    <w:rsid w:val="00250F19"/>
    <w:rsid w:val="00256F93"/>
    <w:rsid w:val="00275CF6"/>
    <w:rsid w:val="002813C2"/>
    <w:rsid w:val="00292B97"/>
    <w:rsid w:val="002A4E29"/>
    <w:rsid w:val="002C41C9"/>
    <w:rsid w:val="002D1C56"/>
    <w:rsid w:val="002D7AB3"/>
    <w:rsid w:val="00305752"/>
    <w:rsid w:val="0032725A"/>
    <w:rsid w:val="00330385"/>
    <w:rsid w:val="00343BFE"/>
    <w:rsid w:val="0036014F"/>
    <w:rsid w:val="00366D0B"/>
    <w:rsid w:val="003675AC"/>
    <w:rsid w:val="00373E1F"/>
    <w:rsid w:val="0038287E"/>
    <w:rsid w:val="003866D7"/>
    <w:rsid w:val="0039423C"/>
    <w:rsid w:val="00394B93"/>
    <w:rsid w:val="003A22E8"/>
    <w:rsid w:val="003A6E44"/>
    <w:rsid w:val="003D1CDE"/>
    <w:rsid w:val="003D3708"/>
    <w:rsid w:val="003D7C57"/>
    <w:rsid w:val="003E3568"/>
    <w:rsid w:val="003F7DBB"/>
    <w:rsid w:val="00404CA7"/>
    <w:rsid w:val="00406438"/>
    <w:rsid w:val="004215CF"/>
    <w:rsid w:val="00422C6B"/>
    <w:rsid w:val="00427839"/>
    <w:rsid w:val="004436A4"/>
    <w:rsid w:val="00443996"/>
    <w:rsid w:val="00447729"/>
    <w:rsid w:val="00453365"/>
    <w:rsid w:val="004665B3"/>
    <w:rsid w:val="00473CAF"/>
    <w:rsid w:val="004862DC"/>
    <w:rsid w:val="004900E6"/>
    <w:rsid w:val="00491430"/>
    <w:rsid w:val="00497B6D"/>
    <w:rsid w:val="004B2042"/>
    <w:rsid w:val="004B6400"/>
    <w:rsid w:val="004C3680"/>
    <w:rsid w:val="004C6A26"/>
    <w:rsid w:val="004C6A6B"/>
    <w:rsid w:val="004D0A05"/>
    <w:rsid w:val="004F5DA0"/>
    <w:rsid w:val="00500D02"/>
    <w:rsid w:val="00526DD4"/>
    <w:rsid w:val="00534E09"/>
    <w:rsid w:val="00540EB1"/>
    <w:rsid w:val="00546FB1"/>
    <w:rsid w:val="005570EE"/>
    <w:rsid w:val="005620A7"/>
    <w:rsid w:val="0056219B"/>
    <w:rsid w:val="00565514"/>
    <w:rsid w:val="005662FC"/>
    <w:rsid w:val="005B26FA"/>
    <w:rsid w:val="005B28E1"/>
    <w:rsid w:val="005B7A67"/>
    <w:rsid w:val="005C02E8"/>
    <w:rsid w:val="005C4A35"/>
    <w:rsid w:val="005C7A4F"/>
    <w:rsid w:val="005D695A"/>
    <w:rsid w:val="005E14B6"/>
    <w:rsid w:val="005F22BE"/>
    <w:rsid w:val="00611391"/>
    <w:rsid w:val="00612363"/>
    <w:rsid w:val="00642505"/>
    <w:rsid w:val="006428FF"/>
    <w:rsid w:val="0064685A"/>
    <w:rsid w:val="0065155B"/>
    <w:rsid w:val="00670745"/>
    <w:rsid w:val="00680F05"/>
    <w:rsid w:val="0069548C"/>
    <w:rsid w:val="006B7FD4"/>
    <w:rsid w:val="006C5E72"/>
    <w:rsid w:val="006D004C"/>
    <w:rsid w:val="006D0135"/>
    <w:rsid w:val="006E21E5"/>
    <w:rsid w:val="006F3BF0"/>
    <w:rsid w:val="007050FF"/>
    <w:rsid w:val="007136E5"/>
    <w:rsid w:val="00724C0E"/>
    <w:rsid w:val="007257E3"/>
    <w:rsid w:val="007349C8"/>
    <w:rsid w:val="00743DAF"/>
    <w:rsid w:val="00756671"/>
    <w:rsid w:val="0078073D"/>
    <w:rsid w:val="00785D62"/>
    <w:rsid w:val="0079680E"/>
    <w:rsid w:val="007A0342"/>
    <w:rsid w:val="007B6E2E"/>
    <w:rsid w:val="007C2AFA"/>
    <w:rsid w:val="007C588E"/>
    <w:rsid w:val="007C765C"/>
    <w:rsid w:val="007C7B82"/>
    <w:rsid w:val="007D629A"/>
    <w:rsid w:val="007E23C1"/>
    <w:rsid w:val="007F2C36"/>
    <w:rsid w:val="00812532"/>
    <w:rsid w:val="008160B9"/>
    <w:rsid w:val="008232E3"/>
    <w:rsid w:val="00835703"/>
    <w:rsid w:val="0084468A"/>
    <w:rsid w:val="008449CA"/>
    <w:rsid w:val="00861C58"/>
    <w:rsid w:val="0086400B"/>
    <w:rsid w:val="008823A8"/>
    <w:rsid w:val="00884D5E"/>
    <w:rsid w:val="008A161D"/>
    <w:rsid w:val="008A3BC0"/>
    <w:rsid w:val="008A77F9"/>
    <w:rsid w:val="008B2899"/>
    <w:rsid w:val="008C3685"/>
    <w:rsid w:val="008C3786"/>
    <w:rsid w:val="008C7AE5"/>
    <w:rsid w:val="008E2098"/>
    <w:rsid w:val="008E53C0"/>
    <w:rsid w:val="00903335"/>
    <w:rsid w:val="00935C62"/>
    <w:rsid w:val="00937A6E"/>
    <w:rsid w:val="00966E4C"/>
    <w:rsid w:val="00975483"/>
    <w:rsid w:val="00975C64"/>
    <w:rsid w:val="0099225C"/>
    <w:rsid w:val="009B574E"/>
    <w:rsid w:val="009B6C8F"/>
    <w:rsid w:val="009B7997"/>
    <w:rsid w:val="009C0C0A"/>
    <w:rsid w:val="009C0C23"/>
    <w:rsid w:val="009C2C1C"/>
    <w:rsid w:val="009C509D"/>
    <w:rsid w:val="009C6CA7"/>
    <w:rsid w:val="009D028D"/>
    <w:rsid w:val="009E0191"/>
    <w:rsid w:val="009F453A"/>
    <w:rsid w:val="009F4A0D"/>
    <w:rsid w:val="00A00F5F"/>
    <w:rsid w:val="00A0514D"/>
    <w:rsid w:val="00A325DC"/>
    <w:rsid w:val="00A35C5A"/>
    <w:rsid w:val="00A458D5"/>
    <w:rsid w:val="00A62408"/>
    <w:rsid w:val="00A64D12"/>
    <w:rsid w:val="00A70FC8"/>
    <w:rsid w:val="00A71BA3"/>
    <w:rsid w:val="00A86F7C"/>
    <w:rsid w:val="00A90515"/>
    <w:rsid w:val="00A92122"/>
    <w:rsid w:val="00AC7553"/>
    <w:rsid w:val="00AE079F"/>
    <w:rsid w:val="00AF54E9"/>
    <w:rsid w:val="00AF576E"/>
    <w:rsid w:val="00AF679F"/>
    <w:rsid w:val="00B02137"/>
    <w:rsid w:val="00B06FF5"/>
    <w:rsid w:val="00B10CAF"/>
    <w:rsid w:val="00B226BF"/>
    <w:rsid w:val="00B41356"/>
    <w:rsid w:val="00B4777C"/>
    <w:rsid w:val="00B50EA1"/>
    <w:rsid w:val="00B559AD"/>
    <w:rsid w:val="00B57878"/>
    <w:rsid w:val="00B670DE"/>
    <w:rsid w:val="00B671AB"/>
    <w:rsid w:val="00B758EC"/>
    <w:rsid w:val="00B9246C"/>
    <w:rsid w:val="00BA2C92"/>
    <w:rsid w:val="00BC7638"/>
    <w:rsid w:val="00BD0C9E"/>
    <w:rsid w:val="00BD19C7"/>
    <w:rsid w:val="00BD5E39"/>
    <w:rsid w:val="00BF4D03"/>
    <w:rsid w:val="00C053B9"/>
    <w:rsid w:val="00C25C3A"/>
    <w:rsid w:val="00C44F14"/>
    <w:rsid w:val="00C60C01"/>
    <w:rsid w:val="00C86559"/>
    <w:rsid w:val="00C867F2"/>
    <w:rsid w:val="00C87582"/>
    <w:rsid w:val="00C93D77"/>
    <w:rsid w:val="00C94828"/>
    <w:rsid w:val="00CA296C"/>
    <w:rsid w:val="00CD69FE"/>
    <w:rsid w:val="00CF0532"/>
    <w:rsid w:val="00D019D4"/>
    <w:rsid w:val="00D0758E"/>
    <w:rsid w:val="00D142BB"/>
    <w:rsid w:val="00D302F4"/>
    <w:rsid w:val="00D666E4"/>
    <w:rsid w:val="00D66E80"/>
    <w:rsid w:val="00D9465E"/>
    <w:rsid w:val="00DB0E78"/>
    <w:rsid w:val="00DB69A3"/>
    <w:rsid w:val="00DB6EBC"/>
    <w:rsid w:val="00DC3ACD"/>
    <w:rsid w:val="00DD71E6"/>
    <w:rsid w:val="00E05E9D"/>
    <w:rsid w:val="00E10358"/>
    <w:rsid w:val="00E21945"/>
    <w:rsid w:val="00E24E90"/>
    <w:rsid w:val="00E4021B"/>
    <w:rsid w:val="00E52915"/>
    <w:rsid w:val="00E52CCC"/>
    <w:rsid w:val="00E57F47"/>
    <w:rsid w:val="00E62DFD"/>
    <w:rsid w:val="00E72BA7"/>
    <w:rsid w:val="00E75515"/>
    <w:rsid w:val="00E76F19"/>
    <w:rsid w:val="00E80788"/>
    <w:rsid w:val="00E80DA7"/>
    <w:rsid w:val="00E84CBD"/>
    <w:rsid w:val="00E95C50"/>
    <w:rsid w:val="00EA21F7"/>
    <w:rsid w:val="00EA3C6F"/>
    <w:rsid w:val="00EC2A67"/>
    <w:rsid w:val="00ED572F"/>
    <w:rsid w:val="00ED7D20"/>
    <w:rsid w:val="00EE1CD1"/>
    <w:rsid w:val="00EF3F82"/>
    <w:rsid w:val="00F266EC"/>
    <w:rsid w:val="00F35CA4"/>
    <w:rsid w:val="00F429DB"/>
    <w:rsid w:val="00F71984"/>
    <w:rsid w:val="00F73049"/>
    <w:rsid w:val="00F804E0"/>
    <w:rsid w:val="00F81E36"/>
    <w:rsid w:val="00FA251F"/>
    <w:rsid w:val="00FB3362"/>
    <w:rsid w:val="00FB5DBC"/>
    <w:rsid w:val="00FD1325"/>
    <w:rsid w:val="00FD1AF1"/>
    <w:rsid w:val="00FF378C"/>
    <w:rsid w:val="00FF57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D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spacing w:after="180" w:line="27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360" w:after="0" w:line="240" w:lineRule="auto"/>
      <w:outlineLvl w:val="0"/>
    </w:pPr>
    <w:rPr>
      <w:rFonts w:ascii="Cambria" w:eastAsia="Cambria" w:hAnsi="Cambria" w:cs="Cambria"/>
      <w:color w:val="1F497D"/>
      <w:sz w:val="32"/>
      <w:szCs w:val="32"/>
    </w:rPr>
  </w:style>
  <w:style w:type="paragraph" w:styleId="Overskrift2">
    <w:name w:val="heading 2"/>
    <w:basedOn w:val="Normal"/>
    <w:next w:val="Normal"/>
    <w:pPr>
      <w:keepNext/>
      <w:keepLines/>
      <w:spacing w:before="120" w:after="0" w:line="240" w:lineRule="auto"/>
      <w:outlineLvl w:val="1"/>
    </w:pPr>
    <w:rPr>
      <w:rFonts w:ascii="Cambria" w:eastAsia="Cambria" w:hAnsi="Cambria" w:cs="Cambria"/>
      <w:b/>
      <w:color w:val="9BBB59"/>
      <w:sz w:val="28"/>
      <w:szCs w:val="28"/>
    </w:rPr>
  </w:style>
  <w:style w:type="paragraph" w:styleId="Overskrift3">
    <w:name w:val="heading 3"/>
    <w:basedOn w:val="Normal"/>
    <w:next w:val="Normal"/>
    <w:pPr>
      <w:keepNext/>
      <w:keepLines/>
      <w:spacing w:before="20" w:after="0" w:line="240" w:lineRule="auto"/>
      <w:outlineLvl w:val="2"/>
    </w:pPr>
    <w:rPr>
      <w:b/>
      <w:color w:val="1F497D"/>
      <w:sz w:val="24"/>
      <w:szCs w:val="24"/>
    </w:rPr>
  </w:style>
  <w:style w:type="paragraph" w:styleId="Overskrift4">
    <w:name w:val="heading 4"/>
    <w:basedOn w:val="Normal"/>
    <w:next w:val="Normal"/>
    <w:pPr>
      <w:keepNext/>
      <w:keepLines/>
      <w:spacing w:before="200" w:after="0"/>
      <w:outlineLvl w:val="3"/>
    </w:pPr>
    <w:rPr>
      <w:rFonts w:ascii="Cambria" w:eastAsia="Cambria" w:hAnsi="Cambria" w:cs="Cambria"/>
      <w:b/>
      <w:i/>
      <w:color w:val="262626"/>
    </w:rPr>
  </w:style>
  <w:style w:type="paragraph" w:styleId="Overskrift5">
    <w:name w:val="heading 5"/>
    <w:basedOn w:val="Normal"/>
    <w:next w:val="Normal"/>
    <w:pPr>
      <w:keepNext/>
      <w:keepLines/>
      <w:spacing w:before="200" w:after="0"/>
      <w:outlineLvl w:val="4"/>
    </w:pPr>
    <w:rPr>
      <w:rFonts w:ascii="Cambria" w:eastAsia="Cambria" w:hAnsi="Cambria" w:cs="Cambria"/>
      <w:color w:val="000000"/>
    </w:rPr>
  </w:style>
  <w:style w:type="paragraph" w:styleId="Overskrift6">
    <w:name w:val="heading 6"/>
    <w:basedOn w:val="Normal"/>
    <w:next w:val="Normal"/>
    <w:pPr>
      <w:keepNext/>
      <w:keepLines/>
      <w:spacing w:before="200" w:after="0"/>
      <w:outlineLvl w:val="5"/>
    </w:pPr>
    <w:rPr>
      <w:rFonts w:ascii="Cambria" w:eastAsia="Cambria" w:hAnsi="Cambria" w:cs="Cambria"/>
      <w: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l"/>
    <w:next w:val="Normal"/>
    <w:pPr>
      <w:spacing w:after="120" w:line="240" w:lineRule="auto"/>
      <w:contextualSpacing/>
    </w:pPr>
    <w:rPr>
      <w:rFonts w:ascii="Cambria" w:eastAsia="Cambria" w:hAnsi="Cambria" w:cs="Cambria"/>
      <w:color w:val="1F497D"/>
      <w:sz w:val="72"/>
      <w:szCs w:val="72"/>
    </w:rPr>
  </w:style>
  <w:style w:type="paragraph" w:styleId="Undertitel">
    <w:name w:val="Subtitle"/>
    <w:basedOn w:val="Normal"/>
    <w:next w:val="Normal"/>
    <w:rPr>
      <w:color w:val="265898"/>
      <w:sz w:val="32"/>
      <w:szCs w:val="32"/>
    </w:rPr>
  </w:style>
  <w:style w:type="table" w:customStyle="1" w:styleId="a">
    <w:basedOn w:val="TableNormal1"/>
    <w:pPr>
      <w:spacing w:after="0" w:line="240" w:lineRule="auto"/>
    </w:p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Mar>
          <w:top w:w="0" w:type="dxa"/>
          <w:left w:w="115" w:type="dxa"/>
          <w:bottom w:w="0" w:type="dxa"/>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dxa"/>
          <w:left w:w="115" w:type="dxa"/>
          <w:bottom w:w="0" w:type="dxa"/>
          <w:right w:w="115" w:type="dxa"/>
        </w:tcMar>
      </w:tcPr>
    </w:tblStylePr>
    <w:tblStylePr w:type="firstCol">
      <w:rPr>
        <w:rFonts w:ascii="Cambria" w:eastAsia="Cambria" w:hAnsi="Cambria" w:cs="Cambria"/>
        <w:b/>
      </w:rPr>
      <w:tblPr/>
      <w:tcPr>
        <w:tcMar>
          <w:top w:w="0" w:type="dxa"/>
          <w:left w:w="115" w:type="dxa"/>
          <w:bottom w:w="0" w:type="dxa"/>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dxa"/>
          <w:left w:w="115" w:type="dxa"/>
          <w:bottom w:w="0" w:type="dxa"/>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dxa"/>
          <w:left w:w="115" w:type="dxa"/>
          <w:bottom w:w="0" w:type="dxa"/>
          <w:right w:w="115" w:type="dxa"/>
        </w:tcMar>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dxa"/>
          <w:left w:w="115" w:type="dxa"/>
          <w:bottom w:w="0" w:type="dxa"/>
          <w:right w:w="115" w:type="dxa"/>
        </w:tcMar>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Mar>
          <w:top w:w="0" w:type="dxa"/>
          <w:left w:w="115" w:type="dxa"/>
          <w:bottom w:w="0" w:type="dxa"/>
          <w:right w:w="115" w:type="dxa"/>
        </w:tcMar>
      </w:tcPr>
    </w:tblStyle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Markeringsbobletekst">
    <w:name w:val="Balloon Text"/>
    <w:basedOn w:val="Normal"/>
    <w:link w:val="MarkeringsbobletekstTegn"/>
    <w:uiPriority w:val="99"/>
    <w:semiHidden/>
    <w:unhideWhenUsed/>
    <w:rsid w:val="006E21E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E21E5"/>
    <w:rPr>
      <w:rFonts w:ascii="Tahoma" w:hAnsi="Tahoma" w:cs="Tahoma"/>
      <w:sz w:val="16"/>
      <w:szCs w:val="16"/>
    </w:rPr>
  </w:style>
  <w:style w:type="paragraph" w:styleId="Sidehoved">
    <w:name w:val="header"/>
    <w:basedOn w:val="Normal"/>
    <w:link w:val="SidehovedTegn"/>
    <w:uiPriority w:val="99"/>
    <w:unhideWhenUsed/>
    <w:rsid w:val="006E21E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21E5"/>
  </w:style>
  <w:style w:type="paragraph" w:styleId="Sidefod">
    <w:name w:val="footer"/>
    <w:basedOn w:val="Normal"/>
    <w:link w:val="SidefodTegn"/>
    <w:uiPriority w:val="99"/>
    <w:unhideWhenUsed/>
    <w:rsid w:val="006E21E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21E5"/>
  </w:style>
  <w:style w:type="character" w:styleId="Kommentarhenvisning">
    <w:name w:val="annotation reference"/>
    <w:basedOn w:val="Standardskrifttypeiafsnit"/>
    <w:uiPriority w:val="99"/>
    <w:semiHidden/>
    <w:unhideWhenUsed/>
    <w:rsid w:val="00E4021B"/>
    <w:rPr>
      <w:sz w:val="16"/>
      <w:szCs w:val="16"/>
    </w:rPr>
  </w:style>
  <w:style w:type="paragraph" w:styleId="Kommentartekst">
    <w:name w:val="annotation text"/>
    <w:basedOn w:val="Normal"/>
    <w:link w:val="KommentartekstTegn"/>
    <w:uiPriority w:val="99"/>
    <w:semiHidden/>
    <w:unhideWhenUsed/>
    <w:rsid w:val="00E4021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4021B"/>
    <w:rPr>
      <w:sz w:val="20"/>
      <w:szCs w:val="20"/>
    </w:rPr>
  </w:style>
  <w:style w:type="paragraph" w:styleId="Kommentaremne">
    <w:name w:val="annotation subject"/>
    <w:basedOn w:val="Kommentartekst"/>
    <w:next w:val="Kommentartekst"/>
    <w:link w:val="KommentaremneTegn"/>
    <w:uiPriority w:val="99"/>
    <w:semiHidden/>
    <w:unhideWhenUsed/>
    <w:rsid w:val="00E4021B"/>
    <w:rPr>
      <w:b/>
      <w:bCs/>
    </w:rPr>
  </w:style>
  <w:style w:type="character" w:customStyle="1" w:styleId="KommentaremneTegn">
    <w:name w:val="Kommentaremne Tegn"/>
    <w:basedOn w:val="KommentartekstTegn"/>
    <w:link w:val="Kommentaremne"/>
    <w:uiPriority w:val="99"/>
    <w:semiHidden/>
    <w:rsid w:val="00E4021B"/>
    <w:rPr>
      <w:b/>
      <w:bCs/>
      <w:sz w:val="20"/>
      <w:szCs w:val="20"/>
    </w:rPr>
  </w:style>
  <w:style w:type="paragraph" w:styleId="Opstilling-punkttegn">
    <w:name w:val="List Bullet"/>
    <w:basedOn w:val="Normal"/>
    <w:uiPriority w:val="99"/>
    <w:unhideWhenUsed/>
    <w:rsid w:val="001E48B6"/>
    <w:pPr>
      <w:numPr>
        <w:numId w:val="3"/>
      </w:numPr>
      <w:spacing w:after="200" w:line="276" w:lineRule="auto"/>
      <w:contextualSpacing/>
    </w:pPr>
    <w:rPr>
      <w:rFonts w:asciiTheme="minorHAnsi" w:eastAsiaTheme="minorHAnsi" w:hAnsiTheme="minorHAnsi" w:cstheme="minorBidi"/>
      <w:lang w:eastAsia="en-US"/>
    </w:rPr>
  </w:style>
  <w:style w:type="paragraph" w:styleId="Indholdsfortegnelse1">
    <w:name w:val="toc 1"/>
    <w:basedOn w:val="Normal"/>
    <w:next w:val="Normal"/>
    <w:autoRedefine/>
    <w:uiPriority w:val="39"/>
    <w:unhideWhenUsed/>
    <w:rsid w:val="009C2C1C"/>
    <w:pPr>
      <w:spacing w:after="100"/>
    </w:pPr>
  </w:style>
  <w:style w:type="paragraph" w:styleId="Indholdsfortegnelse2">
    <w:name w:val="toc 2"/>
    <w:basedOn w:val="Normal"/>
    <w:next w:val="Normal"/>
    <w:autoRedefine/>
    <w:uiPriority w:val="39"/>
    <w:unhideWhenUsed/>
    <w:rsid w:val="009C2C1C"/>
    <w:pPr>
      <w:spacing w:after="100"/>
      <w:ind w:left="220"/>
    </w:pPr>
  </w:style>
  <w:style w:type="character" w:styleId="Hyperlink">
    <w:name w:val="Hyperlink"/>
    <w:basedOn w:val="Standardskrifttypeiafsnit"/>
    <w:uiPriority w:val="99"/>
    <w:unhideWhenUsed/>
    <w:rsid w:val="009C2C1C"/>
    <w:rPr>
      <w:color w:val="0000FF" w:themeColor="hyperlink"/>
      <w:u w:val="single"/>
    </w:rPr>
  </w:style>
  <w:style w:type="paragraph" w:styleId="Listeafsnit">
    <w:name w:val="List Paragraph"/>
    <w:basedOn w:val="Normal"/>
    <w:uiPriority w:val="34"/>
    <w:qFormat/>
    <w:rsid w:val="004C3680"/>
    <w:pPr>
      <w:ind w:left="720"/>
      <w:contextualSpacing/>
    </w:pPr>
  </w:style>
  <w:style w:type="paragraph" w:styleId="Fodnotetekst">
    <w:name w:val="footnote text"/>
    <w:basedOn w:val="Normal"/>
    <w:link w:val="FodnotetekstTegn"/>
    <w:uiPriority w:val="99"/>
    <w:semiHidden/>
    <w:unhideWhenUsed/>
    <w:rsid w:val="0065155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5155B"/>
    <w:rPr>
      <w:sz w:val="20"/>
      <w:szCs w:val="20"/>
    </w:rPr>
  </w:style>
  <w:style w:type="character" w:styleId="Fodnotehenvisning">
    <w:name w:val="footnote reference"/>
    <w:basedOn w:val="Standardskrifttypeiafsnit"/>
    <w:uiPriority w:val="99"/>
    <w:semiHidden/>
    <w:unhideWhenUsed/>
    <w:rsid w:val="0065155B"/>
    <w:rPr>
      <w:vertAlign w:val="superscript"/>
    </w:rPr>
  </w:style>
  <w:style w:type="character" w:styleId="BesgtLink">
    <w:name w:val="FollowedHyperlink"/>
    <w:basedOn w:val="Standardskrifttypeiafsnit"/>
    <w:uiPriority w:val="99"/>
    <w:semiHidden/>
    <w:unhideWhenUsed/>
    <w:rsid w:val="00BD19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atatilsynet.dk/media/6839/konsekvensanalyser-vedroerende-databeskyttelse-dpia-wp248.pdf" TargetMode="External"/><Relationship Id="rId2" Type="http://schemas.openxmlformats.org/officeDocument/2006/relationships/hyperlink" Target="https://www.datatilsynet.dk/media/6563/konsekvensanalyse.pdf" TargetMode="External"/><Relationship Id="rId1" Type="http://schemas.openxmlformats.org/officeDocument/2006/relationships/hyperlink" Target="https://www.hl7.org/fhir/questionnaire.html" TargetMode="External"/><Relationship Id="rId5" Type="http://schemas.openxmlformats.org/officeDocument/2006/relationships/hyperlink" Target="https://sikkerdigital.dk/myndighed/risikostyring/" TargetMode="External"/><Relationship Id="rId4" Type="http://schemas.openxmlformats.org/officeDocument/2006/relationships/hyperlink" Target="https://sikkerdigital.dk/myndighed/ledelsessystem/soa-dokument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1643</Words>
  <Characters>10537</Characters>
  <Application>Microsoft Office Word</Application>
  <DocSecurity>0</DocSecurity>
  <Lines>202</Lines>
  <Paragraphs>93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2019-07-18T07:04:00Z</dcterms:created>
  <dcterms:modified xsi:type="dcterms:W3CDTF">2019-07-18T07:04:00Z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