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CBD2" w14:textId="77777777" w:rsidR="007B6E2E" w:rsidRDefault="007B6E2E">
      <w:bookmarkStart w:id="0" w:name="_GoBack"/>
      <w:bookmarkEnd w:id="0"/>
    </w:p>
    <w:p w14:paraId="2DC30E48" w14:textId="77777777" w:rsidR="007B6E2E" w:rsidRDefault="007B6E2E"/>
    <w:p w14:paraId="2F07B593" w14:textId="77777777" w:rsidR="007B6E2E" w:rsidRDefault="007B6E2E"/>
    <w:p w14:paraId="55CDA4F0" w14:textId="77777777" w:rsidR="007B6E2E" w:rsidRDefault="00E80DA7">
      <w:pPr>
        <w:pStyle w:val="Overskrift1"/>
        <w:keepNext w:val="0"/>
        <w:keepLines w:val="0"/>
        <w:spacing w:before="480"/>
        <w:rPr>
          <w:b/>
          <w:i/>
          <w:sz w:val="46"/>
          <w:szCs w:val="46"/>
        </w:rPr>
      </w:pPr>
      <w:bookmarkStart w:id="1" w:name="_gjdgxs" w:colFirst="0" w:colLast="0"/>
      <w:bookmarkEnd w:id="1"/>
      <w:r>
        <w:rPr>
          <w:b/>
          <w:i/>
          <w:sz w:val="46"/>
          <w:szCs w:val="46"/>
        </w:rPr>
        <w:t>Styregruppen for data og arkitektur</w:t>
      </w:r>
    </w:p>
    <w:p w14:paraId="4D3D718A" w14:textId="77777777" w:rsidR="007B6E2E" w:rsidRDefault="00E80DA7">
      <w:pPr>
        <w:pStyle w:val="Overskrift1"/>
        <w:keepNext w:val="0"/>
        <w:keepLines w:val="0"/>
        <w:spacing w:before="480"/>
        <w:rPr>
          <w:b/>
          <w:sz w:val="46"/>
          <w:szCs w:val="46"/>
        </w:rPr>
      </w:pPr>
      <w:bookmarkStart w:id="2" w:name="_30j0zll" w:colFirst="0" w:colLast="0"/>
      <w:bookmarkEnd w:id="2"/>
      <w:r>
        <w:rPr>
          <w:b/>
          <w:sz w:val="46"/>
          <w:szCs w:val="46"/>
        </w:rPr>
        <w:t xml:space="preserve">Reviewrapport for: </w:t>
      </w:r>
      <w:r>
        <w:rPr>
          <w:b/>
          <w:sz w:val="46"/>
          <w:szCs w:val="46"/>
        </w:rPr>
        <w:br/>
      </w:r>
      <w:r w:rsidR="002A4E29" w:rsidRPr="002A4E29">
        <w:rPr>
          <w:b/>
          <w:sz w:val="46"/>
          <w:szCs w:val="46"/>
        </w:rPr>
        <w:t>Initiativ 6.1 Hydrologisk informations- og prognosesystem</w:t>
      </w:r>
    </w:p>
    <w:p w14:paraId="4939999E" w14:textId="77777777" w:rsidR="007B6E2E" w:rsidRDefault="007B6E2E"/>
    <w:p w14:paraId="41C71E1C" w14:textId="77777777" w:rsidR="007B6E2E" w:rsidRDefault="002A4E29">
      <w:r>
        <w:t>14</w:t>
      </w:r>
      <w:r w:rsidR="00E80DA7">
        <w:t xml:space="preserve">. </w:t>
      </w:r>
      <w:r w:rsidR="00D0758E">
        <w:t>januar 2019</w:t>
      </w:r>
    </w:p>
    <w:p w14:paraId="0EDAFE9A" w14:textId="77777777" w:rsidR="007B6E2E" w:rsidRDefault="007B6E2E"/>
    <w:p w14:paraId="0266190A" w14:textId="77777777" w:rsidR="007B6E2E" w:rsidRDefault="007B6E2E"/>
    <w:p w14:paraId="21DB45DD" w14:textId="77777777" w:rsidR="007B6E2E" w:rsidRDefault="007B6E2E"/>
    <w:p w14:paraId="7413EFB9"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3BE08524" w14:textId="77777777" w:rsidR="007B6E2E" w:rsidRDefault="00E80DA7">
          <w:pPr>
            <w:tabs>
              <w:tab w:val="right" w:pos="9025"/>
            </w:tabs>
            <w:spacing w:before="200" w:line="240" w:lineRule="auto"/>
          </w:pPr>
          <w:r>
            <w:fldChar w:fldCharType="begin"/>
          </w:r>
          <w:r>
            <w:instrText xml:space="preserve"> TOC \h \u \z </w:instrText>
          </w:r>
          <w:r>
            <w:fldChar w:fldCharType="separate"/>
          </w:r>
          <w:hyperlink w:anchor="_2et92p0">
            <w:r>
              <w:rPr>
                <w:b/>
              </w:rPr>
              <w:t>Reviewgrundlag</w:t>
            </w:r>
          </w:hyperlink>
          <w:r>
            <w:rPr>
              <w:b/>
            </w:rPr>
            <w:tab/>
            <w:t>2</w:t>
          </w:r>
        </w:p>
        <w:p w14:paraId="2F609683" w14:textId="77777777" w:rsidR="007B6E2E" w:rsidRDefault="00F8145E">
          <w:pPr>
            <w:tabs>
              <w:tab w:val="right" w:pos="9025"/>
            </w:tabs>
            <w:spacing w:before="200" w:line="240" w:lineRule="auto"/>
          </w:pPr>
          <w:hyperlink w:anchor="_tyjcwt">
            <w:r w:rsidR="00E80DA7">
              <w:rPr>
                <w:b/>
              </w:rPr>
              <w:t>Projektresume</w:t>
            </w:r>
          </w:hyperlink>
          <w:r w:rsidR="00E80DA7">
            <w:rPr>
              <w:b/>
            </w:rPr>
            <w:tab/>
          </w:r>
          <w:r w:rsidR="00E80DA7">
            <w:fldChar w:fldCharType="begin"/>
          </w:r>
          <w:r w:rsidR="00E80DA7">
            <w:instrText xml:space="preserve"> PAGEREF _tyjcwt \h </w:instrText>
          </w:r>
          <w:r w:rsidR="00E80DA7">
            <w:fldChar w:fldCharType="separate"/>
          </w:r>
          <w:r w:rsidR="009C509D">
            <w:rPr>
              <w:noProof/>
            </w:rPr>
            <w:t>2</w:t>
          </w:r>
          <w:r w:rsidR="00E80DA7">
            <w:fldChar w:fldCharType="end"/>
          </w:r>
        </w:p>
        <w:p w14:paraId="277AF0AA" w14:textId="77777777" w:rsidR="007B6E2E" w:rsidRDefault="00F8145E">
          <w:pPr>
            <w:tabs>
              <w:tab w:val="right" w:pos="9025"/>
            </w:tabs>
            <w:spacing w:before="200" w:line="240" w:lineRule="auto"/>
          </w:pPr>
          <w:hyperlink w:anchor="_3dy6vkm">
            <w:r w:rsidR="00E80DA7">
              <w:rPr>
                <w:b/>
              </w:rPr>
              <w:t>Indstilling</w:t>
            </w:r>
          </w:hyperlink>
          <w:r w:rsidR="00E80DA7">
            <w:rPr>
              <w:b/>
            </w:rPr>
            <w:tab/>
          </w:r>
          <w:r w:rsidR="009C509D" w:rsidRPr="009C509D">
            <w:rPr>
              <w:b/>
            </w:rPr>
            <w:t>3</w:t>
          </w:r>
        </w:p>
        <w:p w14:paraId="326F71C4" w14:textId="77777777" w:rsidR="007B6E2E" w:rsidRDefault="00F8145E">
          <w:pPr>
            <w:tabs>
              <w:tab w:val="right" w:pos="9025"/>
            </w:tabs>
            <w:spacing w:before="200" w:line="240" w:lineRule="auto"/>
          </w:pPr>
          <w:hyperlink w:anchor="_1t3h5sf">
            <w:r w:rsidR="00E80DA7">
              <w:rPr>
                <w:b/>
              </w:rPr>
              <w:t>Anbefalinger</w:t>
            </w:r>
          </w:hyperlink>
          <w:r w:rsidR="00E80DA7">
            <w:rPr>
              <w:b/>
            </w:rPr>
            <w:tab/>
          </w:r>
          <w:r w:rsidR="00E80DA7">
            <w:fldChar w:fldCharType="begin"/>
          </w:r>
          <w:r w:rsidR="00E80DA7">
            <w:instrText xml:space="preserve"> PAGEREF _1t3h5sf \h </w:instrText>
          </w:r>
          <w:r w:rsidR="00E80DA7">
            <w:fldChar w:fldCharType="separate"/>
          </w:r>
          <w:r w:rsidR="009C509D">
            <w:rPr>
              <w:noProof/>
            </w:rPr>
            <w:t>3</w:t>
          </w:r>
          <w:r w:rsidR="00E80DA7">
            <w:fldChar w:fldCharType="end"/>
          </w:r>
        </w:p>
        <w:p w14:paraId="786C3508" w14:textId="77777777" w:rsidR="007B6E2E" w:rsidRDefault="00E80DA7">
          <w:pPr>
            <w:tabs>
              <w:tab w:val="right" w:pos="9025"/>
            </w:tabs>
            <w:spacing w:before="60" w:after="80" w:line="240" w:lineRule="auto"/>
            <w:ind w:left="360"/>
          </w:pPr>
          <w:r>
            <w:fldChar w:fldCharType="end"/>
          </w:r>
        </w:p>
      </w:sdtContent>
    </w:sdt>
    <w:p w14:paraId="6A3B6306" w14:textId="77777777" w:rsidR="007B6E2E" w:rsidRDefault="007B6E2E"/>
    <w:p w14:paraId="0352C569" w14:textId="77777777" w:rsidR="007B6E2E" w:rsidRDefault="007B6E2E"/>
    <w:p w14:paraId="196BF3A9" w14:textId="77777777" w:rsidR="007B6E2E" w:rsidRDefault="007B6E2E"/>
    <w:p w14:paraId="5D6F5BCF" w14:textId="77777777" w:rsidR="007B6E2E" w:rsidRDefault="00E80DA7">
      <w:bookmarkStart w:id="3" w:name="_1fob9te" w:colFirst="0" w:colLast="0"/>
      <w:bookmarkEnd w:id="3"/>
      <w:r>
        <w:br w:type="page"/>
      </w:r>
    </w:p>
    <w:p w14:paraId="1421F4A3" w14:textId="77777777" w:rsidR="007B6E2E" w:rsidRDefault="00F804E0">
      <w:pPr>
        <w:pStyle w:val="Overskrift1"/>
        <w:keepNext w:val="0"/>
        <w:keepLines w:val="0"/>
        <w:spacing w:after="80"/>
      </w:pPr>
      <w:bookmarkStart w:id="4" w:name="_3znysh7" w:colFirst="0" w:colLast="0"/>
      <w:bookmarkEnd w:id="4"/>
      <w:r>
        <w:lastRenderedPageBreak/>
        <w:t>Initiativ 6.1 Hydrologisk informations- og prognosesystem</w:t>
      </w:r>
    </w:p>
    <w:p w14:paraId="75B2BBEC" w14:textId="77777777" w:rsidR="007B6E2E" w:rsidRDefault="00E80DA7">
      <w:r>
        <w:t xml:space="preserve">Reviewet af </w:t>
      </w:r>
      <w:r w:rsidR="00F804E0" w:rsidRPr="00F804E0">
        <w:t>Initiativ 6.1 Hydrologisk informations- og prognosesystem</w:t>
      </w:r>
      <w:r w:rsidR="00F804E0">
        <w:t xml:space="preserve"> er udført 8</w:t>
      </w:r>
      <w:r>
        <w:t xml:space="preserve">. </w:t>
      </w:r>
      <w:r w:rsidR="00F804E0">
        <w:t>januar til 21</w:t>
      </w:r>
      <w:r>
        <w:t xml:space="preserve">. </w:t>
      </w:r>
      <w:r w:rsidR="00D0758E">
        <w:t>januar 2019</w:t>
      </w:r>
      <w:r>
        <w:t xml:space="preserve"> på baggrund af projektets fremsendte materialer:</w:t>
      </w:r>
    </w:p>
    <w:p w14:paraId="64E03B1A" w14:textId="77777777" w:rsidR="007B6E2E" w:rsidRPr="007136E5" w:rsidRDefault="00D0758E">
      <w:pPr>
        <w:numPr>
          <w:ilvl w:val="0"/>
          <w:numId w:val="2"/>
        </w:numPr>
        <w:ind w:left="405"/>
        <w:contextualSpacing/>
      </w:pPr>
      <w:r w:rsidRPr="007136E5">
        <w:t>A</w:t>
      </w:r>
      <w:r w:rsidR="007136E5" w:rsidRPr="007136E5">
        <w:t xml:space="preserve">ftalebeskrivelse for Initiativ 6.1 – Fælles data om terraen klima og vand </w:t>
      </w:r>
    </w:p>
    <w:p w14:paraId="094843B8" w14:textId="77777777" w:rsidR="007B6E2E" w:rsidRPr="007136E5" w:rsidRDefault="007136E5">
      <w:pPr>
        <w:numPr>
          <w:ilvl w:val="0"/>
          <w:numId w:val="2"/>
        </w:numPr>
        <w:ind w:left="405"/>
        <w:contextualSpacing/>
      </w:pPr>
      <w:r w:rsidRPr="007136E5">
        <w:t>Sammenfattende notat om foreløbige resultater af analyse af HIP infrastruktur</w:t>
      </w:r>
    </w:p>
    <w:p w14:paraId="345A9335" w14:textId="77777777" w:rsidR="007136E5" w:rsidRPr="007136E5" w:rsidRDefault="007136E5">
      <w:pPr>
        <w:numPr>
          <w:ilvl w:val="0"/>
          <w:numId w:val="2"/>
        </w:numPr>
        <w:ind w:left="405"/>
        <w:contextualSpacing/>
      </w:pPr>
      <w:r w:rsidRPr="007136E5">
        <w:t>Foreløbigt analyseresultat af HIP1</w:t>
      </w:r>
    </w:p>
    <w:p w14:paraId="11CE15EC" w14:textId="77777777" w:rsidR="007B6E2E" w:rsidRDefault="00D0758E">
      <w:r>
        <w:br/>
      </w:r>
      <w:r w:rsidR="00E80DA7">
        <w:t>Reviewet er udført i overensstemmelse med retningslinjer for arkitekturreviews, godkendt af styregruppen for data</w:t>
      </w:r>
      <w:r w:rsidR="006E21E5">
        <w:t xml:space="preserve"> og arkitektur maj 2017. Review</w:t>
      </w:r>
      <w:r w:rsidR="00E80DA7">
        <w:t xml:space="preserve">boardet og deltagere er listet i nedenstående tabel: </w:t>
      </w:r>
    </w:p>
    <w:tbl>
      <w:tblPr>
        <w:tblStyle w:val="a"/>
        <w:tblW w:w="9012"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3372"/>
        <w:gridCol w:w="5640"/>
      </w:tblGrid>
      <w:tr w:rsidR="007B6E2E" w14:paraId="580929D4" w14:textId="77777777" w:rsidTr="007B6E2E">
        <w:tc>
          <w:tcPr>
            <w:tcW w:w="3372" w:type="dxa"/>
            <w:shd w:val="clear" w:color="auto" w:fill="DBE5F1"/>
          </w:tcPr>
          <w:p w14:paraId="2A2BC505" w14:textId="77777777" w:rsidR="007B6E2E" w:rsidRDefault="006E21E5">
            <w:pPr>
              <w:ind w:left="100"/>
              <w:rPr>
                <w:b/>
                <w:color w:val="000000"/>
                <w:sz w:val="18"/>
                <w:szCs w:val="18"/>
              </w:rPr>
            </w:pPr>
            <w:r>
              <w:rPr>
                <w:b/>
                <w:sz w:val="18"/>
                <w:szCs w:val="18"/>
              </w:rPr>
              <w:t>Review</w:t>
            </w:r>
            <w:r w:rsidR="00E80DA7">
              <w:rPr>
                <w:b/>
                <w:sz w:val="18"/>
                <w:szCs w:val="18"/>
              </w:rPr>
              <w:t>board:</w:t>
            </w:r>
          </w:p>
        </w:tc>
        <w:tc>
          <w:tcPr>
            <w:tcW w:w="5640" w:type="dxa"/>
            <w:shd w:val="clear" w:color="auto" w:fill="DBE5F1"/>
          </w:tcPr>
          <w:p w14:paraId="6C3212D3" w14:textId="77777777" w:rsidR="00D0758E" w:rsidRDefault="002A4E29" w:rsidP="00D0758E">
            <w:pPr>
              <w:ind w:right="-45"/>
              <w:rPr>
                <w:sz w:val="18"/>
                <w:szCs w:val="18"/>
              </w:rPr>
            </w:pPr>
            <w:r>
              <w:rPr>
                <w:sz w:val="18"/>
                <w:szCs w:val="18"/>
              </w:rPr>
              <w:t>Peter Thrane</w:t>
            </w:r>
            <w:r w:rsidR="00E80DA7">
              <w:rPr>
                <w:sz w:val="18"/>
                <w:szCs w:val="18"/>
              </w:rPr>
              <w:t xml:space="preserve">, </w:t>
            </w:r>
            <w:r w:rsidR="00D0758E">
              <w:rPr>
                <w:sz w:val="18"/>
                <w:szCs w:val="18"/>
              </w:rPr>
              <w:t>KL</w:t>
            </w:r>
          </w:p>
        </w:tc>
      </w:tr>
      <w:tr w:rsidR="00D0758E" w14:paraId="51A732AA" w14:textId="77777777" w:rsidTr="007B6E2E">
        <w:tc>
          <w:tcPr>
            <w:tcW w:w="3372" w:type="dxa"/>
            <w:shd w:val="clear" w:color="auto" w:fill="DBE5F1"/>
          </w:tcPr>
          <w:p w14:paraId="7296898C" w14:textId="77777777" w:rsidR="00D0758E" w:rsidRDefault="00D0758E">
            <w:pPr>
              <w:ind w:left="100"/>
              <w:rPr>
                <w:b/>
                <w:sz w:val="18"/>
                <w:szCs w:val="18"/>
              </w:rPr>
            </w:pPr>
          </w:p>
        </w:tc>
        <w:tc>
          <w:tcPr>
            <w:tcW w:w="5640" w:type="dxa"/>
            <w:shd w:val="clear" w:color="auto" w:fill="DBE5F1"/>
          </w:tcPr>
          <w:p w14:paraId="1427B068" w14:textId="77777777" w:rsidR="00D0758E" w:rsidRDefault="002A4E29" w:rsidP="002A4E29">
            <w:pPr>
              <w:ind w:right="-45"/>
              <w:rPr>
                <w:sz w:val="18"/>
                <w:szCs w:val="18"/>
              </w:rPr>
            </w:pPr>
            <w:r>
              <w:rPr>
                <w:sz w:val="18"/>
                <w:szCs w:val="18"/>
              </w:rPr>
              <w:t>Lars Erik Storgaard</w:t>
            </w:r>
            <w:r w:rsidR="00D0758E">
              <w:rPr>
                <w:sz w:val="18"/>
                <w:szCs w:val="18"/>
              </w:rPr>
              <w:t xml:space="preserve">, </w:t>
            </w:r>
            <w:r>
              <w:rPr>
                <w:sz w:val="18"/>
                <w:szCs w:val="18"/>
              </w:rPr>
              <w:t>Styrelsen for dataforsyning og effektivisering</w:t>
            </w:r>
          </w:p>
        </w:tc>
      </w:tr>
      <w:tr w:rsidR="007B6E2E" w14:paraId="3A57580C" w14:textId="77777777" w:rsidTr="007B6E2E">
        <w:tc>
          <w:tcPr>
            <w:tcW w:w="3372" w:type="dxa"/>
            <w:shd w:val="clear" w:color="auto" w:fill="DBE5F1"/>
          </w:tcPr>
          <w:p w14:paraId="164F7608" w14:textId="77777777" w:rsidR="007B6E2E" w:rsidRDefault="00E80DA7">
            <w:pPr>
              <w:ind w:left="100"/>
              <w:rPr>
                <w:b/>
                <w:color w:val="000000"/>
                <w:sz w:val="18"/>
                <w:szCs w:val="18"/>
              </w:rPr>
            </w:pPr>
            <w:r>
              <w:rPr>
                <w:b/>
                <w:color w:val="000000"/>
                <w:sz w:val="18"/>
                <w:szCs w:val="18"/>
              </w:rPr>
              <w:t>Sekretariat for 8.1:</w:t>
            </w:r>
          </w:p>
        </w:tc>
        <w:tc>
          <w:tcPr>
            <w:tcW w:w="5640" w:type="dxa"/>
            <w:shd w:val="clear" w:color="auto" w:fill="DBE5F1"/>
          </w:tcPr>
          <w:p w14:paraId="016FD552" w14:textId="77777777" w:rsidR="007B6E2E" w:rsidRDefault="002A4E29">
            <w:pPr>
              <w:ind w:right="-45"/>
              <w:rPr>
                <w:color w:val="000000"/>
                <w:sz w:val="18"/>
                <w:szCs w:val="18"/>
              </w:rPr>
            </w:pPr>
            <w:r>
              <w:rPr>
                <w:sz w:val="18"/>
                <w:szCs w:val="18"/>
              </w:rPr>
              <w:t>A</w:t>
            </w:r>
            <w:r w:rsidR="00680F05">
              <w:rPr>
                <w:sz w:val="18"/>
                <w:szCs w:val="18"/>
              </w:rPr>
              <w:t>dam Ar</w:t>
            </w:r>
            <w:r>
              <w:rPr>
                <w:sz w:val="18"/>
                <w:szCs w:val="18"/>
              </w:rPr>
              <w:t>ndt</w:t>
            </w:r>
            <w:r w:rsidR="009C0C23">
              <w:rPr>
                <w:sz w:val="18"/>
                <w:szCs w:val="18"/>
              </w:rPr>
              <w:t>, CTD</w:t>
            </w:r>
          </w:p>
        </w:tc>
      </w:tr>
      <w:tr w:rsidR="007B6E2E" w14:paraId="0D8CFE51" w14:textId="77777777" w:rsidTr="007B6E2E">
        <w:tc>
          <w:tcPr>
            <w:tcW w:w="3372" w:type="dxa"/>
            <w:shd w:val="clear" w:color="auto" w:fill="DBE5F1"/>
          </w:tcPr>
          <w:p w14:paraId="43D9931C" w14:textId="77777777" w:rsidR="007B6E2E" w:rsidRDefault="007B6E2E">
            <w:pPr>
              <w:ind w:left="100"/>
              <w:rPr>
                <w:b/>
                <w:sz w:val="18"/>
                <w:szCs w:val="18"/>
              </w:rPr>
            </w:pPr>
          </w:p>
        </w:tc>
        <w:tc>
          <w:tcPr>
            <w:tcW w:w="5640" w:type="dxa"/>
            <w:shd w:val="clear" w:color="auto" w:fill="DBE5F1"/>
          </w:tcPr>
          <w:p w14:paraId="0CED7ACF" w14:textId="77777777" w:rsidR="007B6E2E" w:rsidRDefault="009C0C23" w:rsidP="009C0C23">
            <w:pPr>
              <w:ind w:right="-45"/>
              <w:rPr>
                <w:sz w:val="18"/>
                <w:szCs w:val="18"/>
              </w:rPr>
            </w:pPr>
            <w:r>
              <w:rPr>
                <w:sz w:val="18"/>
                <w:szCs w:val="18"/>
              </w:rPr>
              <w:t>Asbjørn Flyger Lauwersen</w:t>
            </w:r>
            <w:r w:rsidR="00E80DA7">
              <w:rPr>
                <w:sz w:val="18"/>
                <w:szCs w:val="18"/>
              </w:rPr>
              <w:t xml:space="preserve">, </w:t>
            </w:r>
            <w:r>
              <w:rPr>
                <w:sz w:val="18"/>
                <w:szCs w:val="18"/>
              </w:rPr>
              <w:t>CTD</w:t>
            </w:r>
          </w:p>
        </w:tc>
      </w:tr>
      <w:tr w:rsidR="007B6E2E" w14:paraId="12ACE787" w14:textId="77777777" w:rsidTr="007B6E2E">
        <w:tc>
          <w:tcPr>
            <w:tcW w:w="3372" w:type="dxa"/>
            <w:shd w:val="clear" w:color="auto" w:fill="DBE5F1"/>
          </w:tcPr>
          <w:p w14:paraId="750515DB" w14:textId="77777777" w:rsidR="007B6E2E" w:rsidRDefault="00E80DA7">
            <w:pPr>
              <w:ind w:left="100"/>
              <w:rPr>
                <w:b/>
                <w:sz w:val="18"/>
                <w:szCs w:val="18"/>
              </w:rPr>
            </w:pPr>
            <w:r>
              <w:rPr>
                <w:b/>
                <w:sz w:val="18"/>
                <w:szCs w:val="18"/>
              </w:rPr>
              <w:t>Projektdeltagere:</w:t>
            </w:r>
          </w:p>
        </w:tc>
        <w:tc>
          <w:tcPr>
            <w:tcW w:w="5640" w:type="dxa"/>
            <w:shd w:val="clear" w:color="auto" w:fill="DBE5F1"/>
          </w:tcPr>
          <w:p w14:paraId="5F2467BF" w14:textId="77777777" w:rsidR="007B6E2E" w:rsidRDefault="005E14B6" w:rsidP="005E14B6">
            <w:pPr>
              <w:ind w:right="-45"/>
              <w:rPr>
                <w:sz w:val="18"/>
                <w:szCs w:val="18"/>
              </w:rPr>
            </w:pPr>
            <w:r>
              <w:rPr>
                <w:sz w:val="18"/>
                <w:szCs w:val="18"/>
              </w:rPr>
              <w:t>Chris Gold Nielsen</w:t>
            </w:r>
            <w:r w:rsidR="00E80DA7">
              <w:rPr>
                <w:sz w:val="18"/>
                <w:szCs w:val="18"/>
              </w:rPr>
              <w:t xml:space="preserve">, </w:t>
            </w:r>
            <w:r>
              <w:rPr>
                <w:sz w:val="18"/>
                <w:szCs w:val="18"/>
              </w:rPr>
              <w:t>Styrelsen for dataforsyning og effektivisering</w:t>
            </w:r>
          </w:p>
        </w:tc>
      </w:tr>
      <w:tr w:rsidR="007B6E2E" w14:paraId="2AC6C9A8" w14:textId="77777777" w:rsidTr="007B6E2E">
        <w:tc>
          <w:tcPr>
            <w:tcW w:w="3372" w:type="dxa"/>
            <w:shd w:val="clear" w:color="auto" w:fill="DBE5F1"/>
          </w:tcPr>
          <w:p w14:paraId="0E3AD10E" w14:textId="77777777" w:rsidR="007B6E2E" w:rsidRDefault="007B6E2E">
            <w:pPr>
              <w:ind w:left="100"/>
              <w:rPr>
                <w:b/>
                <w:color w:val="000000"/>
                <w:sz w:val="18"/>
                <w:szCs w:val="18"/>
              </w:rPr>
            </w:pPr>
          </w:p>
        </w:tc>
        <w:tc>
          <w:tcPr>
            <w:tcW w:w="5640" w:type="dxa"/>
            <w:shd w:val="clear" w:color="auto" w:fill="DBE5F1"/>
          </w:tcPr>
          <w:p w14:paraId="0172C39B" w14:textId="77777777" w:rsidR="007B6E2E" w:rsidRDefault="00680F05" w:rsidP="009C0C23">
            <w:pPr>
              <w:ind w:right="-45"/>
              <w:rPr>
                <w:sz w:val="18"/>
                <w:szCs w:val="18"/>
              </w:rPr>
            </w:pPr>
            <w:r>
              <w:rPr>
                <w:sz w:val="18"/>
                <w:szCs w:val="18"/>
              </w:rPr>
              <w:t>Peter West-Nielsen</w:t>
            </w:r>
            <w:r w:rsidR="00E80DA7">
              <w:rPr>
                <w:sz w:val="18"/>
                <w:szCs w:val="18"/>
              </w:rPr>
              <w:t xml:space="preserve">, </w:t>
            </w:r>
            <w:r>
              <w:rPr>
                <w:sz w:val="18"/>
                <w:szCs w:val="18"/>
              </w:rPr>
              <w:t>Styrelsen for dataforsyning og effektivisering</w:t>
            </w:r>
          </w:p>
        </w:tc>
      </w:tr>
      <w:tr w:rsidR="007B6E2E" w14:paraId="6B90B4DA" w14:textId="77777777" w:rsidTr="007B6E2E">
        <w:tc>
          <w:tcPr>
            <w:tcW w:w="3372" w:type="dxa"/>
            <w:shd w:val="clear" w:color="auto" w:fill="DBE5F1"/>
          </w:tcPr>
          <w:p w14:paraId="2732FC4A" w14:textId="77777777" w:rsidR="007B6E2E" w:rsidRDefault="007B6E2E">
            <w:pPr>
              <w:ind w:left="100"/>
              <w:rPr>
                <w:b/>
                <w:color w:val="000000"/>
                <w:sz w:val="18"/>
                <w:szCs w:val="18"/>
              </w:rPr>
            </w:pPr>
          </w:p>
        </w:tc>
        <w:tc>
          <w:tcPr>
            <w:tcW w:w="5640" w:type="dxa"/>
            <w:shd w:val="clear" w:color="auto" w:fill="DBE5F1"/>
          </w:tcPr>
          <w:p w14:paraId="6A056215" w14:textId="3298CC9D" w:rsidR="007B6E2E" w:rsidRDefault="00680F05" w:rsidP="00680F05">
            <w:pPr>
              <w:ind w:right="-45"/>
              <w:rPr>
                <w:sz w:val="18"/>
                <w:szCs w:val="18"/>
              </w:rPr>
            </w:pPr>
            <w:r>
              <w:rPr>
                <w:sz w:val="18"/>
                <w:szCs w:val="18"/>
              </w:rPr>
              <w:t>Søren</w:t>
            </w:r>
            <w:r w:rsidR="00144B04">
              <w:rPr>
                <w:sz w:val="18"/>
                <w:szCs w:val="18"/>
              </w:rPr>
              <w:t xml:space="preserve"> Phillip</w:t>
            </w:r>
            <w:r>
              <w:rPr>
                <w:sz w:val="18"/>
                <w:szCs w:val="18"/>
              </w:rPr>
              <w:t>sen</w:t>
            </w:r>
            <w:r w:rsidR="00E80DA7">
              <w:rPr>
                <w:sz w:val="18"/>
                <w:szCs w:val="18"/>
              </w:rPr>
              <w:t xml:space="preserve">, </w:t>
            </w:r>
            <w:r>
              <w:rPr>
                <w:sz w:val="18"/>
                <w:szCs w:val="18"/>
              </w:rPr>
              <w:t>Strand &amp; Donslund</w:t>
            </w:r>
          </w:p>
        </w:tc>
      </w:tr>
    </w:tbl>
    <w:p w14:paraId="29770309" w14:textId="77777777" w:rsidR="007B6E2E" w:rsidRDefault="00E80DA7">
      <w:pPr>
        <w:pStyle w:val="Overskrift1"/>
        <w:keepNext w:val="0"/>
        <w:keepLines w:val="0"/>
        <w:spacing w:after="80"/>
      </w:pPr>
      <w:bookmarkStart w:id="5" w:name="_2et92p0" w:colFirst="0" w:colLast="0"/>
      <w:bookmarkEnd w:id="5"/>
      <w:r>
        <w:t>Reviewgrundlag</w:t>
      </w:r>
    </w:p>
    <w:p w14:paraId="55BC4337" w14:textId="77777777" w:rsidR="007B6E2E" w:rsidRDefault="00E80DA7">
      <w:r>
        <w:t>Udgangspunktet for reviewet udgøres af hvidbog om fællesoffentlig digital arkite</w:t>
      </w:r>
      <w:r w:rsidR="006E21E5">
        <w:t xml:space="preserve">ktur. Principper fra hvidbogen </w:t>
      </w:r>
      <w:r>
        <w:t xml:space="preserve">er gengivet nedenfor: </w:t>
      </w:r>
    </w:p>
    <w:p w14:paraId="326B71BE" w14:textId="77777777" w:rsidR="007B6E2E" w:rsidRDefault="00E80DA7">
      <w:pPr>
        <w:spacing w:after="0"/>
        <w:rPr>
          <w:i/>
        </w:rPr>
      </w:pPr>
      <w:r>
        <w:rPr>
          <w:i/>
        </w:rPr>
        <w:t>1. Arkitektur styres på rette niveau efter fælles rammer (styring)</w:t>
      </w:r>
    </w:p>
    <w:p w14:paraId="5EF75AEA" w14:textId="77777777" w:rsidR="007B6E2E" w:rsidRDefault="00E80DA7">
      <w:pPr>
        <w:spacing w:after="0"/>
        <w:rPr>
          <w:i/>
        </w:rPr>
      </w:pPr>
      <w:r>
        <w:rPr>
          <w:i/>
        </w:rPr>
        <w:t>2. Arkitektur fremmer sammenhæng, innovation og effektivitet (strategi)</w:t>
      </w:r>
    </w:p>
    <w:p w14:paraId="5267BB7E" w14:textId="77777777" w:rsidR="007B6E2E" w:rsidRDefault="00E80DA7">
      <w:pPr>
        <w:spacing w:after="0"/>
        <w:rPr>
          <w:i/>
        </w:rPr>
      </w:pPr>
      <w:r>
        <w:rPr>
          <w:i/>
        </w:rPr>
        <w:t>3. Arkitektur og regulering understøtter hinanden (jura)</w:t>
      </w:r>
    </w:p>
    <w:p w14:paraId="7090AD9B" w14:textId="77777777" w:rsidR="007B6E2E" w:rsidRDefault="00E80DA7">
      <w:pPr>
        <w:spacing w:after="0"/>
        <w:rPr>
          <w:i/>
        </w:rPr>
      </w:pPr>
      <w:r>
        <w:rPr>
          <w:i/>
        </w:rPr>
        <w:t>4. Sikkerhed, privatliv og tillid sikres (sikkerhed)</w:t>
      </w:r>
    </w:p>
    <w:p w14:paraId="79611588" w14:textId="77777777" w:rsidR="007B6E2E" w:rsidRDefault="00E80DA7">
      <w:pPr>
        <w:spacing w:after="0"/>
        <w:rPr>
          <w:i/>
        </w:rPr>
      </w:pPr>
      <w:r>
        <w:rPr>
          <w:i/>
        </w:rPr>
        <w:t>5. Processer optimeres på tværs (opgaver)</w:t>
      </w:r>
    </w:p>
    <w:p w14:paraId="1C83F6EC" w14:textId="77777777" w:rsidR="007B6E2E" w:rsidRDefault="00E80DA7">
      <w:pPr>
        <w:spacing w:after="0"/>
        <w:rPr>
          <w:i/>
        </w:rPr>
      </w:pPr>
      <w:r>
        <w:rPr>
          <w:i/>
        </w:rPr>
        <w:t>6. Gode data deles og genbruges (information)</w:t>
      </w:r>
    </w:p>
    <w:p w14:paraId="0DA48099" w14:textId="77777777" w:rsidR="007B6E2E" w:rsidRDefault="00E80DA7">
      <w:pPr>
        <w:spacing w:after="0"/>
        <w:rPr>
          <w:i/>
        </w:rPr>
      </w:pPr>
      <w:r>
        <w:rPr>
          <w:i/>
        </w:rPr>
        <w:t>7. It-løsninger samarbejder effektivt (applikation)</w:t>
      </w:r>
    </w:p>
    <w:p w14:paraId="7AE61E48" w14:textId="77777777" w:rsidR="007B6E2E" w:rsidRDefault="00E80DA7">
      <w:pPr>
        <w:spacing w:after="0"/>
        <w:rPr>
          <w:i/>
        </w:rPr>
      </w:pPr>
      <w:r>
        <w:rPr>
          <w:i/>
        </w:rPr>
        <w:t>8. Data og services leveres driftssikkert (infrastruktur)</w:t>
      </w:r>
    </w:p>
    <w:p w14:paraId="6924B2E7" w14:textId="77777777" w:rsidR="00903335" w:rsidRPr="009C509D" w:rsidRDefault="00E80DA7" w:rsidP="00903335">
      <w:pPr>
        <w:pStyle w:val="Overskrift1"/>
        <w:keepNext w:val="0"/>
        <w:keepLines w:val="0"/>
        <w:spacing w:after="80"/>
      </w:pPr>
      <w:bookmarkStart w:id="6" w:name="_tyjcwt" w:colFirst="0" w:colLast="0"/>
      <w:bookmarkEnd w:id="6"/>
      <w:r>
        <w:t>Projektresume</w:t>
      </w:r>
    </w:p>
    <w:p w14:paraId="3FF046C6" w14:textId="03748771" w:rsidR="00AE079F" w:rsidRDefault="008E2098">
      <w:pPr>
        <w:spacing w:after="120"/>
      </w:pPr>
      <w:r>
        <w:t xml:space="preserve">Projektet </w:t>
      </w:r>
      <w:r w:rsidRPr="008E2098">
        <w:t>Hydro</w:t>
      </w:r>
      <w:r>
        <w:t>logisk informations</w:t>
      </w:r>
      <w:r w:rsidR="00AE079F">
        <w:t>-</w:t>
      </w:r>
      <w:r>
        <w:t xml:space="preserve"> og prognosesystem strækker sig ud over FODS i hele sin foreslåede form. Dette review har fokuseret på de leverancer der ligger indenfor scope af HIP1. </w:t>
      </w:r>
      <w:r w:rsidR="00AE079F">
        <w:t xml:space="preserve">Når HIP står færdig er det meningen at HIP skal være den samlende portal der giver adgang til data om hvor vand befinder sig og hvor det bevæger sig hen. Dette indebærer blandt andet grundvandsstand, afdampning, havvandstand, og prognoserne for hvordan disse ændre sig over tid, på et relativt snævert </w:t>
      </w:r>
      <w:r w:rsidR="00B10CAF">
        <w:t>kvadratnet</w:t>
      </w:r>
      <w:r w:rsidR="00AE079F">
        <w:t xml:space="preserve">system (100x100m). </w:t>
      </w:r>
    </w:p>
    <w:p w14:paraId="7FD7E142" w14:textId="77777777" w:rsidR="008E2098" w:rsidRPr="008E2098" w:rsidRDefault="00AE079F">
      <w:pPr>
        <w:spacing w:after="120"/>
      </w:pPr>
      <w:r>
        <w:t>HIP1 har til for</w:t>
      </w:r>
      <w:r w:rsidR="0079680E">
        <w:t>mål at etablere en baseline af den nødvendige it-infrastruktur baseret på funktionelle og tekniske krav, samt skabe et overblik over datakilderne til systemet og etablere en brugergrænseflade til præsentation, udvælgelse og simple beregninger af data. HIP1 er primært fokuseret på funktionalitet og på udarbejdelsen af et p</w:t>
      </w:r>
      <w:r w:rsidR="00534E09">
        <w:t>rojektgrundlag der kan belyse e</w:t>
      </w:r>
      <w:r w:rsidR="0079680E">
        <w:t>m</w:t>
      </w:r>
      <w:r w:rsidR="00534E09">
        <w:t>n</w:t>
      </w:r>
      <w:r w:rsidR="0079680E">
        <w:t>er som businesscase, governance og fremtidig drift.</w:t>
      </w:r>
    </w:p>
    <w:p w14:paraId="17E99E2F" w14:textId="77777777" w:rsidR="007B6E2E" w:rsidRDefault="00E80DA7">
      <w:pPr>
        <w:pStyle w:val="Overskrift1"/>
        <w:keepNext w:val="0"/>
        <w:keepLines w:val="0"/>
        <w:spacing w:after="80"/>
      </w:pPr>
      <w:bookmarkStart w:id="7" w:name="_lc8qpab8doa6" w:colFirst="0" w:colLast="0"/>
      <w:bookmarkEnd w:id="7"/>
      <w:r>
        <w:lastRenderedPageBreak/>
        <w:t>Indstilling</w:t>
      </w:r>
    </w:p>
    <w:p w14:paraId="786638A1" w14:textId="77777777" w:rsidR="007B6E2E" w:rsidRPr="008449CA" w:rsidRDefault="00E80DA7" w:rsidP="008449CA">
      <w:pPr>
        <w:rPr>
          <w:i/>
        </w:rPr>
      </w:pPr>
      <w:r>
        <w:rPr>
          <w:i/>
        </w:rPr>
        <w:t xml:space="preserve">Det vurderes, at </w:t>
      </w:r>
      <w:r w:rsidR="009E0191">
        <w:rPr>
          <w:i/>
        </w:rPr>
        <w:t>Initiativ 6.1 Hydrologisk informations og prognosesystem</w:t>
      </w:r>
      <w:r>
        <w:rPr>
          <w:i/>
        </w:rPr>
        <w:t xml:space="preserve"> er delvist i </w:t>
      </w:r>
      <w:r w:rsidRPr="008449CA">
        <w:rPr>
          <w:i/>
        </w:rPr>
        <w:t>overensstemmelse med principper og regler for den fællesoffentlige arkitektur, som fremstillet i hvidbog om fæll</w:t>
      </w:r>
      <w:r w:rsidR="006E21E5" w:rsidRPr="008449CA">
        <w:rPr>
          <w:i/>
        </w:rPr>
        <w:t>esoffentlig digital arkitektur.</w:t>
      </w:r>
    </w:p>
    <w:p w14:paraId="0497643D" w14:textId="77777777" w:rsidR="008C3685" w:rsidRPr="008449CA" w:rsidRDefault="008C3685" w:rsidP="008449CA">
      <w:r w:rsidRPr="008449CA">
        <w:t xml:space="preserve">Reviewboardet ser positivt på projektet, og </w:t>
      </w:r>
      <w:r w:rsidR="008449CA" w:rsidRPr="008449CA">
        <w:t xml:space="preserve">dets fremskridt indenfor en relativt kort tidsramme. På nuværende tidspunkt er der en række udestående spørgsmål som ikke kan besvares før det er besluttet hvilken teknisk infrastruktur HIP skal benytte. Det bør afklares hurtigst muligt, og det er positivt at beslutningen er datosat. Denne usikkerhed giver udslag ved at en række niveauer er vurderet til delvist opfyldt. </w:t>
      </w:r>
    </w:p>
    <w:p w14:paraId="3EED336E" w14:textId="77777777" w:rsidR="00534E09" w:rsidRDefault="00DB69A3" w:rsidP="008449CA">
      <w:r w:rsidRPr="008449CA">
        <w:t xml:space="preserve">Reviewboardet finder at niveauet strategi er </w:t>
      </w:r>
      <w:r w:rsidR="008C3685" w:rsidRPr="008449CA">
        <w:t>fuldt</w:t>
      </w:r>
      <w:r w:rsidRPr="008449CA">
        <w:t xml:space="preserve"> opfyldt,</w:t>
      </w:r>
      <w:r w:rsidR="008C3685" w:rsidRPr="008449CA">
        <w:t xml:space="preserve"> niveauet</w:t>
      </w:r>
      <w:r w:rsidRPr="008449CA">
        <w:t xml:space="preserve"> opgaver ikke er relevant og resten er delvist opfyldt. Dette er</w:t>
      </w:r>
      <w:r w:rsidR="008C3685" w:rsidRPr="008449CA">
        <w:t xml:space="preserve"> et</w:t>
      </w:r>
      <w:r w:rsidRPr="008449CA">
        <w:t xml:space="preserve"> </w:t>
      </w:r>
      <w:r w:rsidR="008C3685" w:rsidRPr="008449CA">
        <w:t>fuldt</w:t>
      </w:r>
      <w:r w:rsidRPr="008449CA">
        <w:t xml:space="preserve"> forventeligt resultat på dette tidspunkt af et projektforløb</w:t>
      </w:r>
      <w:r w:rsidR="008C3685" w:rsidRPr="008449CA">
        <w:t>,</w:t>
      </w:r>
      <w:r w:rsidR="008C3685">
        <w:t xml:space="preserve"> givet projektets modenhed. </w:t>
      </w:r>
      <w:r w:rsidR="008C3685" w:rsidRPr="008C3685">
        <w:t>Reviewboardet har udarbej</w:t>
      </w:r>
      <w:r w:rsidR="008C3685" w:rsidRPr="007E23C1">
        <w:t xml:space="preserve">det </w:t>
      </w:r>
      <w:r w:rsidR="0099225C">
        <w:t>6</w:t>
      </w:r>
      <w:r w:rsidR="008C3685" w:rsidRPr="007E23C1">
        <w:t xml:space="preserve"> anbefalinger t</w:t>
      </w:r>
      <w:r w:rsidR="008C3685" w:rsidRPr="008C3685">
        <w:t>il det nuværende projekt, som relatere sig til de fortsatte overvejelser og beslutninger projektet bør forholde sig til, for at leve fuldt op til FDA.</w:t>
      </w:r>
    </w:p>
    <w:p w14:paraId="2CDAD070" w14:textId="77777777" w:rsidR="007B6E2E" w:rsidRDefault="007B6E2E"/>
    <w:tbl>
      <w:tblPr>
        <w:tblStyle w:val="a0"/>
        <w:tblW w:w="438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1800"/>
        <w:gridCol w:w="1935"/>
        <w:gridCol w:w="645"/>
      </w:tblGrid>
      <w:tr w:rsidR="007B6E2E" w14:paraId="2BBB0226" w14:textId="77777777">
        <w:trPr>
          <w:trHeight w:val="400"/>
        </w:trPr>
        <w:tc>
          <w:tcPr>
            <w:tcW w:w="1800" w:type="dxa"/>
            <w:tcBorders>
              <w:top w:val="single" w:sz="8" w:space="0" w:color="4F81BD"/>
              <w:left w:val="single" w:sz="8" w:space="0" w:color="4F81BD"/>
              <w:bottom w:val="single" w:sz="18" w:space="0" w:color="4F81BD"/>
              <w:right w:val="single" w:sz="8" w:space="0" w:color="4F81BD"/>
            </w:tcBorders>
            <w:tcMar>
              <w:top w:w="20" w:type="dxa"/>
              <w:left w:w="100" w:type="dxa"/>
              <w:bottom w:w="20" w:type="dxa"/>
              <w:right w:w="100" w:type="dxa"/>
            </w:tcMar>
          </w:tcPr>
          <w:p w14:paraId="617B2B7B" w14:textId="77777777" w:rsidR="007B6E2E" w:rsidRDefault="00E80DA7">
            <w:pPr>
              <w:spacing w:after="0"/>
              <w:ind w:left="102"/>
              <w:rPr>
                <w:b/>
                <w:sz w:val="20"/>
                <w:szCs w:val="20"/>
              </w:rPr>
            </w:pPr>
            <w:r>
              <w:rPr>
                <w:b/>
                <w:sz w:val="20"/>
                <w:szCs w:val="20"/>
              </w:rPr>
              <w:t>Niveau</w:t>
            </w:r>
          </w:p>
        </w:tc>
        <w:tc>
          <w:tcPr>
            <w:tcW w:w="2580" w:type="dxa"/>
            <w:gridSpan w:val="2"/>
            <w:tcBorders>
              <w:top w:val="single" w:sz="8" w:space="0" w:color="4F81BD"/>
              <w:left w:val="single" w:sz="8" w:space="0" w:color="4F81BD"/>
              <w:bottom w:val="single" w:sz="18" w:space="0" w:color="4F81BD"/>
              <w:right w:val="single" w:sz="8" w:space="0" w:color="4F81BD"/>
            </w:tcBorders>
            <w:tcMar>
              <w:top w:w="20" w:type="dxa"/>
              <w:left w:w="100" w:type="dxa"/>
              <w:bottom w:w="20" w:type="dxa"/>
              <w:right w:w="100" w:type="dxa"/>
            </w:tcMar>
          </w:tcPr>
          <w:p w14:paraId="4D4002DF" w14:textId="77777777" w:rsidR="007B6E2E" w:rsidRDefault="00E80DA7">
            <w:pPr>
              <w:spacing w:after="0"/>
              <w:ind w:left="102"/>
              <w:rPr>
                <w:b/>
                <w:sz w:val="20"/>
                <w:szCs w:val="20"/>
              </w:rPr>
            </w:pPr>
            <w:r>
              <w:rPr>
                <w:b/>
                <w:sz w:val="20"/>
                <w:szCs w:val="20"/>
              </w:rPr>
              <w:t>Vurdering</w:t>
            </w:r>
            <w:r>
              <w:rPr>
                <w:noProof/>
              </w:rPr>
              <mc:AlternateContent>
                <mc:Choice Requires="wps">
                  <w:drawing>
                    <wp:anchor distT="0" distB="0" distL="114300" distR="114300" simplePos="0" relativeHeight="251658240" behindDoc="0" locked="0" layoutInCell="1" hidden="0" allowOverlap="1" wp14:anchorId="40B6B925" wp14:editId="3CE989DF">
                      <wp:simplePos x="0" y="0"/>
                      <wp:positionH relativeFrom="margin">
                        <wp:posOffset>1828800</wp:posOffset>
                      </wp:positionH>
                      <wp:positionV relativeFrom="paragraph">
                        <wp:posOffset>0</wp:posOffset>
                      </wp:positionV>
                      <wp:extent cx="2514600" cy="1993900"/>
                      <wp:effectExtent l="0" t="0" r="0" b="0"/>
                      <wp:wrapNone/>
                      <wp:docPr id="1" name="Rektangel 1"/>
                      <wp:cNvGraphicFramePr/>
                      <a:graphic xmlns:a="http://schemas.openxmlformats.org/drawingml/2006/main">
                        <a:graphicData uri="http://schemas.microsoft.com/office/word/2010/wordprocessingShape">
                          <wps:wsp>
                            <wps:cNvSpPr/>
                            <wps:spPr>
                              <a:xfrm>
                                <a:off x="4093463" y="2784638"/>
                                <a:ext cx="2505075" cy="1990725"/>
                              </a:xfrm>
                              <a:prstGeom prst="rect">
                                <a:avLst/>
                              </a:prstGeom>
                              <a:solidFill>
                                <a:srgbClr val="FFFFFF"/>
                              </a:solidFill>
                              <a:ln w="9525"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15D687CD" w14:textId="77777777" w:rsidR="007B6E2E" w:rsidRDefault="006E21E5">
                                  <w:pPr>
                                    <w:spacing w:line="273" w:lineRule="auto"/>
                                    <w:textDirection w:val="btLr"/>
                                  </w:pPr>
                                  <w:r>
                                    <w:rPr>
                                      <w:color w:val="000000"/>
                                      <w:sz w:val="18"/>
                                    </w:rPr>
                                    <w:t>Reviewboardet</w:t>
                                  </w:r>
                                  <w:r w:rsidR="00E80DA7">
                                    <w:rPr>
                                      <w:color w:val="000000"/>
                                      <w:sz w:val="18"/>
                                    </w:rPr>
                                    <w:t xml:space="preserve"> har </w:t>
                                  </w:r>
                                  <w:r w:rsidR="00E80DA7" w:rsidRPr="007E23C1">
                                    <w:rPr>
                                      <w:color w:val="000000"/>
                                      <w:sz w:val="18"/>
                                    </w:rPr>
                                    <w:t xml:space="preserve">udarbejdet </w:t>
                                  </w:r>
                                  <w:r w:rsidR="0099225C">
                                    <w:rPr>
                                      <w:b/>
                                      <w:color w:val="000000"/>
                                      <w:sz w:val="18"/>
                                    </w:rPr>
                                    <w:t>6</w:t>
                                  </w:r>
                                  <w:r w:rsidR="00E80DA7" w:rsidRPr="007E23C1">
                                    <w:rPr>
                                      <w:color w:val="000000"/>
                                      <w:sz w:val="18"/>
                                    </w:rPr>
                                    <w:t xml:space="preserve"> anbefalinger</w:t>
                                  </w:r>
                                  <w:r w:rsidR="00E80DA7">
                                    <w:rPr>
                                      <w:color w:val="000000"/>
                                      <w:sz w:val="18"/>
                                    </w:rPr>
                                    <w:t>, givet i denne review-rapport.</w:t>
                                  </w:r>
                                </w:p>
                                <w:p w14:paraId="62248136" w14:textId="77777777" w:rsidR="007B6E2E" w:rsidRDefault="00E80DA7">
                                  <w:pPr>
                                    <w:spacing w:line="273" w:lineRule="auto"/>
                                    <w:textDirection w:val="btLr"/>
                                  </w:pPr>
                                  <w:r>
                                    <w:rPr>
                                      <w:color w:val="000000"/>
                                      <w:sz w:val="18"/>
                                    </w:rPr>
                                    <w:t>Projektet anmodes om at tage stilling til disse anbefalinger i en handlingsplan.</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http://schemas.microsoft.com/office/drawing/2014/chartex">
                  <w:pict>
                    <v:rect w14:anchorId="40B6B925" id="Rektangel 1" o:spid="_x0000_s1026" style="position:absolute;left:0;text-align:left;margin-left:2in;margin-top:0;width:198pt;height:15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">
                      <v:stroke startarrowwidth="narrow" startarrowlength="short" endarrowwidth="narrow" endarrowlength="short"/>
                      <v:shadow on="t" color="black" opacity="26214f" origin="-.5,-.5" offset=".74836mm,.74836mm"/>
                      <v:textbox inset="2.53958mm,1.2694mm,2.53958mm,1.2694mm">
                        <w:txbxContent>
                          <w:p w14:paraId="15D687CD" w14:textId="77777777" w:rsidR="007B6E2E" w:rsidRDefault="006E21E5">
                            <w:pPr>
                              <w:spacing w:line="273" w:lineRule="auto"/>
                              <w:textDirection w:val="btLr"/>
                            </w:pPr>
                            <w:r>
                              <w:rPr>
                                <w:color w:val="000000"/>
                                <w:sz w:val="18"/>
                              </w:rPr>
                              <w:t>Reviewboardet</w:t>
                            </w:r>
                            <w:r w:rsidR="00E80DA7">
                              <w:rPr>
                                <w:color w:val="000000"/>
                                <w:sz w:val="18"/>
                              </w:rPr>
                              <w:t xml:space="preserve"> har </w:t>
                            </w:r>
                            <w:r w:rsidR="00E80DA7" w:rsidRPr="007E23C1">
                              <w:rPr>
                                <w:color w:val="000000"/>
                                <w:sz w:val="18"/>
                              </w:rPr>
                              <w:t xml:space="preserve">udarbejdet </w:t>
                            </w:r>
                            <w:r w:rsidR="0099225C">
                              <w:rPr>
                                <w:b/>
                                <w:color w:val="000000"/>
                                <w:sz w:val="18"/>
                              </w:rPr>
                              <w:t>6</w:t>
                            </w:r>
                            <w:r w:rsidR="00E80DA7" w:rsidRPr="007E23C1">
                              <w:rPr>
                                <w:color w:val="000000"/>
                                <w:sz w:val="18"/>
                              </w:rPr>
                              <w:t xml:space="preserve"> anbefalinger</w:t>
                            </w:r>
                            <w:r w:rsidR="00E80DA7">
                              <w:rPr>
                                <w:color w:val="000000"/>
                                <w:sz w:val="18"/>
                              </w:rPr>
                              <w:t>, givet i denne review-rapport.</w:t>
                            </w:r>
                          </w:p>
                          <w:p w14:paraId="62248136" w14:textId="77777777" w:rsidR="007B6E2E" w:rsidRDefault="00E80DA7">
                            <w:pPr>
                              <w:spacing w:line="273" w:lineRule="auto"/>
                              <w:textDirection w:val="btLr"/>
                            </w:pPr>
                            <w:r>
                              <w:rPr>
                                <w:color w:val="000000"/>
                                <w:sz w:val="18"/>
                              </w:rPr>
                              <w:t>Projektet anmodes om at tage stilling til disse anbefalinger i en handlingsplan.</w:t>
                            </w:r>
                          </w:p>
                        </w:txbxContent>
                      </v:textbox>
                      <w10:wrap anchorx="margin"/>
                    </v:rect>
                  </w:pict>
                </mc:Fallback>
              </mc:AlternateContent>
            </w:r>
          </w:p>
        </w:tc>
      </w:tr>
      <w:tr w:rsidR="007B6E2E" w14:paraId="6C6D18E8"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404E3D2D"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Styring</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48DCB3B" w14:textId="77777777" w:rsidR="007B6E2E" w:rsidRDefault="00534E09">
            <w:pPr>
              <w:spacing w:after="0"/>
              <w:ind w:left="102"/>
              <w:rPr>
                <w:sz w:val="20"/>
                <w:szCs w:val="20"/>
              </w:rPr>
            </w:pPr>
            <w:r>
              <w:rPr>
                <w:sz w:val="20"/>
                <w:szCs w:val="20"/>
              </w:rPr>
              <w:t>Delvist</w:t>
            </w:r>
            <w:r w:rsidR="009D028D">
              <w:rPr>
                <w:sz w:val="20"/>
                <w:szCs w:val="20"/>
              </w:rPr>
              <w:t xml:space="preserve"> </w:t>
            </w:r>
            <w:r w:rsidR="00E80DA7">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1EBA4EC8" w14:textId="77777777" w:rsidR="007B6E2E" w:rsidRPr="009D028D" w:rsidRDefault="00E80DA7">
            <w:pPr>
              <w:spacing w:after="0"/>
              <w:ind w:left="102"/>
              <w:rPr>
                <w:color w:val="00B050"/>
                <w:sz w:val="20"/>
                <w:szCs w:val="20"/>
                <w:highlight w:val="yellow"/>
              </w:rPr>
            </w:pPr>
            <w:r w:rsidRPr="009D028D">
              <w:rPr>
                <w:color w:val="00B050"/>
                <w:sz w:val="20"/>
                <w:szCs w:val="20"/>
                <w:highlight w:val="yellow"/>
              </w:rPr>
              <w:t xml:space="preserve"> </w:t>
            </w:r>
          </w:p>
        </w:tc>
      </w:tr>
      <w:tr w:rsidR="007B6E2E" w14:paraId="41FB4E69" w14:textId="77777777" w:rsidTr="009D028D">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30617CB6" w14:textId="77777777" w:rsidR="007B6E2E" w:rsidRDefault="00E80DA7">
            <w:pPr>
              <w:spacing w:after="0"/>
              <w:ind w:left="102"/>
              <w:rPr>
                <w:b/>
                <w:sz w:val="20"/>
                <w:szCs w:val="20"/>
              </w:rPr>
            </w:pPr>
            <w:r>
              <w:rPr>
                <w:b/>
                <w:sz w:val="20"/>
                <w:szCs w:val="20"/>
              </w:rPr>
              <w:t>Strategi</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26FA127C" w14:textId="77777777" w:rsidR="007B6E2E" w:rsidRDefault="00E80DA7">
            <w:pPr>
              <w:spacing w:after="0"/>
              <w:ind w:left="102"/>
              <w:rPr>
                <w:sz w:val="20"/>
                <w:szCs w:val="20"/>
              </w:rPr>
            </w:pPr>
            <w:r>
              <w:rPr>
                <w:sz w:val="20"/>
                <w:szCs w:val="20"/>
              </w:rPr>
              <w:t>Fuldt opfyldt</w:t>
            </w:r>
          </w:p>
        </w:tc>
        <w:tc>
          <w:tcPr>
            <w:tcW w:w="645" w:type="dxa"/>
            <w:tcBorders>
              <w:top w:val="single" w:sz="8" w:space="0" w:color="4F81BD"/>
              <w:left w:val="single" w:sz="8" w:space="0" w:color="4F81BD"/>
              <w:bottom w:val="single" w:sz="8" w:space="0" w:color="4F81BD"/>
              <w:right w:val="single" w:sz="8" w:space="0" w:color="4F81BD"/>
            </w:tcBorders>
            <w:shd w:val="clear" w:color="auto" w:fill="00B050"/>
            <w:tcMar>
              <w:top w:w="20" w:type="dxa"/>
              <w:left w:w="100" w:type="dxa"/>
              <w:bottom w:w="20" w:type="dxa"/>
              <w:right w:w="100" w:type="dxa"/>
            </w:tcMar>
          </w:tcPr>
          <w:p w14:paraId="62A3D3A5" w14:textId="77777777" w:rsidR="007B6E2E" w:rsidRDefault="00E80DA7">
            <w:pPr>
              <w:spacing w:after="0"/>
              <w:ind w:left="102"/>
              <w:rPr>
                <w:sz w:val="20"/>
                <w:szCs w:val="20"/>
                <w:highlight w:val="yellow"/>
              </w:rPr>
            </w:pPr>
            <w:r>
              <w:rPr>
                <w:color w:val="000000"/>
                <w:sz w:val="20"/>
                <w:szCs w:val="20"/>
                <w:highlight w:val="yellow"/>
              </w:rPr>
              <w:t xml:space="preserve"> </w:t>
            </w:r>
          </w:p>
        </w:tc>
      </w:tr>
      <w:tr w:rsidR="007B6E2E" w14:paraId="58B22EA8"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60FBFA71"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Jura</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3DC3BB42" w14:textId="77777777" w:rsidR="007B6E2E" w:rsidRDefault="00534E09">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18F3B6A2" w14:textId="77777777" w:rsidR="007B6E2E" w:rsidRDefault="00E80DA7">
            <w:pPr>
              <w:spacing w:after="0"/>
              <w:ind w:left="102"/>
              <w:rPr>
                <w:color w:val="000000"/>
                <w:sz w:val="20"/>
                <w:szCs w:val="20"/>
                <w:highlight w:val="yellow"/>
              </w:rPr>
            </w:pPr>
            <w:r>
              <w:rPr>
                <w:color w:val="000000"/>
                <w:sz w:val="20"/>
                <w:szCs w:val="20"/>
                <w:highlight w:val="yellow"/>
              </w:rPr>
              <w:t xml:space="preserve"> </w:t>
            </w:r>
          </w:p>
        </w:tc>
      </w:tr>
      <w:tr w:rsidR="007B6E2E" w14:paraId="7D3EAB3C" w14:textId="77777777" w:rsidTr="00534E0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46B4B9A6" w14:textId="77777777" w:rsidR="007B6E2E" w:rsidRDefault="00E80DA7">
            <w:pPr>
              <w:spacing w:after="0"/>
              <w:ind w:left="102"/>
              <w:rPr>
                <w:b/>
                <w:sz w:val="20"/>
                <w:szCs w:val="20"/>
              </w:rPr>
            </w:pPr>
            <w:r>
              <w:rPr>
                <w:b/>
                <w:sz w:val="20"/>
                <w:szCs w:val="20"/>
              </w:rPr>
              <w:t>Sikkerhed</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E42EE3F" w14:textId="77777777" w:rsidR="007B6E2E" w:rsidRDefault="00534E09">
            <w:pPr>
              <w:spacing w:after="0"/>
              <w:ind w:left="102"/>
              <w:rPr>
                <w:sz w:val="20"/>
                <w:szCs w:val="20"/>
              </w:rPr>
            </w:pPr>
            <w:r>
              <w:rPr>
                <w:sz w:val="20"/>
                <w:szCs w:val="20"/>
              </w:rPr>
              <w:t>Delvist</w:t>
            </w:r>
            <w:r w:rsidR="009D028D">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08BAB1AB" w14:textId="77777777" w:rsidR="007B6E2E" w:rsidRDefault="00E80DA7">
            <w:pPr>
              <w:spacing w:after="0"/>
              <w:ind w:left="102"/>
              <w:rPr>
                <w:sz w:val="20"/>
                <w:szCs w:val="20"/>
                <w:highlight w:val="yellow"/>
              </w:rPr>
            </w:pPr>
            <w:r>
              <w:rPr>
                <w:sz w:val="20"/>
                <w:szCs w:val="20"/>
                <w:highlight w:val="yellow"/>
              </w:rPr>
              <w:t xml:space="preserve"> </w:t>
            </w:r>
          </w:p>
        </w:tc>
      </w:tr>
      <w:tr w:rsidR="007B6E2E" w14:paraId="77EA7101"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683C0CE3"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Opgaver</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2C7567A" w14:textId="77777777" w:rsidR="007B6E2E" w:rsidRDefault="00534E09">
            <w:pPr>
              <w:spacing w:after="0"/>
              <w:ind w:left="102"/>
              <w:rPr>
                <w:sz w:val="20"/>
                <w:szCs w:val="20"/>
              </w:rPr>
            </w:pPr>
            <w:r>
              <w:rPr>
                <w:sz w:val="20"/>
                <w:szCs w:val="20"/>
              </w:rPr>
              <w:t>Ikke relevant</w:t>
            </w:r>
          </w:p>
        </w:tc>
        <w:tc>
          <w:tcPr>
            <w:tcW w:w="645" w:type="dxa"/>
            <w:tcBorders>
              <w:top w:val="single" w:sz="8" w:space="0" w:color="4F81BD"/>
              <w:left w:val="single" w:sz="8" w:space="0" w:color="4F81BD"/>
              <w:bottom w:val="single" w:sz="8" w:space="0" w:color="4F81BD"/>
              <w:right w:val="single" w:sz="8" w:space="0" w:color="4F81BD"/>
            </w:tcBorders>
            <w:shd w:val="clear" w:color="auto" w:fill="A6A6A6" w:themeFill="background1" w:themeFillShade="A6"/>
            <w:tcMar>
              <w:top w:w="20" w:type="dxa"/>
              <w:left w:w="100" w:type="dxa"/>
              <w:bottom w:w="20" w:type="dxa"/>
              <w:right w:w="100" w:type="dxa"/>
            </w:tcMar>
          </w:tcPr>
          <w:p w14:paraId="144D6362" w14:textId="77777777" w:rsidR="007B6E2E" w:rsidRDefault="00E80DA7">
            <w:pPr>
              <w:spacing w:after="0"/>
              <w:ind w:left="102"/>
              <w:rPr>
                <w:sz w:val="20"/>
                <w:szCs w:val="20"/>
                <w:highlight w:val="yellow"/>
              </w:rPr>
            </w:pPr>
            <w:r>
              <w:rPr>
                <w:sz w:val="20"/>
                <w:szCs w:val="20"/>
                <w:highlight w:val="yellow"/>
              </w:rPr>
              <w:t xml:space="preserve"> </w:t>
            </w:r>
          </w:p>
        </w:tc>
      </w:tr>
      <w:tr w:rsidR="007B6E2E" w14:paraId="69AA33CF" w14:textId="77777777">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77FE1B5C" w14:textId="77777777" w:rsidR="007B6E2E" w:rsidRDefault="00E80DA7">
            <w:pPr>
              <w:spacing w:after="0"/>
              <w:ind w:left="102"/>
              <w:rPr>
                <w:b/>
                <w:sz w:val="20"/>
                <w:szCs w:val="20"/>
              </w:rPr>
            </w:pPr>
            <w:r>
              <w:rPr>
                <w:b/>
                <w:sz w:val="20"/>
                <w:szCs w:val="20"/>
              </w:rPr>
              <w:t>Information</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A6C9D1E" w14:textId="77777777" w:rsidR="007B6E2E" w:rsidRDefault="00E80DA7">
            <w:pPr>
              <w:spacing w:after="0"/>
              <w:ind w:left="102"/>
              <w:rPr>
                <w:sz w:val="20"/>
                <w:szCs w:val="20"/>
              </w:rPr>
            </w:pPr>
            <w:r>
              <w:rPr>
                <w:sz w:val="20"/>
                <w:szCs w:val="20"/>
              </w:rPr>
              <w:t>Delvist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63D47C1C" w14:textId="77777777" w:rsidR="007B6E2E" w:rsidRDefault="00E80DA7">
            <w:pPr>
              <w:spacing w:after="0"/>
              <w:ind w:left="102"/>
              <w:rPr>
                <w:sz w:val="20"/>
                <w:szCs w:val="20"/>
                <w:highlight w:val="yellow"/>
              </w:rPr>
            </w:pPr>
            <w:r>
              <w:rPr>
                <w:sz w:val="20"/>
                <w:szCs w:val="20"/>
                <w:highlight w:val="yellow"/>
              </w:rPr>
              <w:t xml:space="preserve"> </w:t>
            </w:r>
          </w:p>
        </w:tc>
      </w:tr>
      <w:tr w:rsidR="007B6E2E" w14:paraId="38D33C0C"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41926CC8"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Applikation</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296413AB" w14:textId="77777777" w:rsidR="007B6E2E" w:rsidRDefault="00534E09">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7F5346E2" w14:textId="77777777" w:rsidR="007B6E2E" w:rsidRDefault="00E80DA7">
            <w:pPr>
              <w:spacing w:after="0"/>
              <w:ind w:left="102"/>
              <w:rPr>
                <w:sz w:val="20"/>
                <w:szCs w:val="20"/>
                <w:highlight w:val="yellow"/>
              </w:rPr>
            </w:pPr>
            <w:r>
              <w:rPr>
                <w:sz w:val="20"/>
                <w:szCs w:val="20"/>
                <w:highlight w:val="yellow"/>
              </w:rPr>
              <w:t xml:space="preserve"> </w:t>
            </w:r>
          </w:p>
        </w:tc>
      </w:tr>
      <w:tr w:rsidR="007B6E2E" w14:paraId="718B0DC9" w14:textId="77777777" w:rsidTr="00534E0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AB35A39" w14:textId="77777777" w:rsidR="007B6E2E" w:rsidRDefault="00E80DA7">
            <w:pPr>
              <w:spacing w:after="0"/>
              <w:ind w:left="102"/>
              <w:rPr>
                <w:b/>
                <w:sz w:val="20"/>
                <w:szCs w:val="20"/>
              </w:rPr>
            </w:pPr>
            <w:r>
              <w:rPr>
                <w:b/>
                <w:sz w:val="20"/>
                <w:szCs w:val="20"/>
              </w:rPr>
              <w:t>Infrastruktur</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D990995" w14:textId="77777777" w:rsidR="007B6E2E" w:rsidRDefault="00534E09" w:rsidP="00534E09">
            <w:pPr>
              <w:spacing w:after="0"/>
              <w:ind w:left="102"/>
              <w:rPr>
                <w:sz w:val="20"/>
                <w:szCs w:val="20"/>
              </w:rPr>
            </w:pPr>
            <w:r>
              <w:rPr>
                <w:sz w:val="20"/>
                <w:szCs w:val="20"/>
              </w:rPr>
              <w:t>Delvist</w:t>
            </w:r>
            <w:r w:rsidR="009D028D">
              <w:rPr>
                <w:sz w:val="20"/>
                <w:szCs w:val="20"/>
              </w:rPr>
              <w:t xml:space="preserve"> </w:t>
            </w:r>
            <w:r>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231180E8" w14:textId="77777777" w:rsidR="007B6E2E" w:rsidRDefault="00E80DA7">
            <w:pPr>
              <w:spacing w:after="0"/>
              <w:ind w:left="102"/>
              <w:rPr>
                <w:sz w:val="20"/>
                <w:szCs w:val="20"/>
                <w:highlight w:val="yellow"/>
              </w:rPr>
            </w:pPr>
            <w:r>
              <w:rPr>
                <w:sz w:val="20"/>
                <w:szCs w:val="20"/>
                <w:highlight w:val="yellow"/>
              </w:rPr>
              <w:t xml:space="preserve"> </w:t>
            </w:r>
          </w:p>
        </w:tc>
      </w:tr>
    </w:tbl>
    <w:p w14:paraId="7E9CB920" w14:textId="77777777" w:rsidR="007B6E2E" w:rsidRDefault="00E80DA7">
      <w:pPr>
        <w:pStyle w:val="Overskrift1"/>
      </w:pPr>
      <w:bookmarkStart w:id="8" w:name="_1t3h5sf" w:colFirst="0" w:colLast="0"/>
      <w:bookmarkEnd w:id="8"/>
      <w:r>
        <w:t>Anbefalinger</w:t>
      </w:r>
    </w:p>
    <w:p w14:paraId="5D76EA0C" w14:textId="77777777" w:rsidR="007B6E2E" w:rsidRDefault="00E80DA7">
      <w:r>
        <w:t xml:space="preserve">Reviewet af </w:t>
      </w:r>
      <w:r w:rsidR="009E0191">
        <w:t>Initiativ 6.1 Hydrologisk informations- og prognosesystem</w:t>
      </w:r>
      <w:r>
        <w:t xml:space="preserve"> har identificeret en række anbefalinger, der fremstår i to kategorier:</w:t>
      </w:r>
    </w:p>
    <w:p w14:paraId="35FDBE14"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6271D86F"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44890BFE" w14:textId="77777777" w:rsidR="007B6E2E" w:rsidRDefault="00E80DA7">
      <w:r>
        <w:br/>
        <w:t xml:space="preserve">For så vidt angår anbefalinger </w:t>
      </w:r>
      <w:r w:rsidR="00884D5E">
        <w:t>til det nuværende projekt</w:t>
      </w:r>
      <w:r>
        <w:t xml:space="preserve"> anmodes projektet om at imødegå disse ud fra følg-eller-forklar princippet </w:t>
      </w:r>
      <w:r w:rsidR="006E21E5">
        <w:t>i deres bemærkninger til review</w:t>
      </w:r>
      <w:r>
        <w:t>rapporten samlet i en handlingsplan. For</w:t>
      </w:r>
      <w:r w:rsidR="009C0C23">
        <w:t xml:space="preserve"> tværgående</w:t>
      </w:r>
      <w:r>
        <w:t xml:space="preserve"> anbefalinger, udarbejder sekretariatet for initiativ 8.1 beslutningsoplæg. Disse beslutningsoplæg indgår ligeledes i styregruppen for data og arkitekturs behandling af reviewet.</w:t>
      </w:r>
    </w:p>
    <w:p w14:paraId="589DD7CE" w14:textId="77777777" w:rsidR="007B6E2E" w:rsidRDefault="00E80DA7">
      <w:pPr>
        <w:pStyle w:val="Overskrift2"/>
      </w:pPr>
      <w:bookmarkStart w:id="9" w:name="_4d34og8" w:colFirst="0" w:colLast="0"/>
      <w:bookmarkEnd w:id="9"/>
      <w:r>
        <w:lastRenderedPageBreak/>
        <w:t>Anbefalinger til det nuværende projekt</w:t>
      </w:r>
    </w:p>
    <w:p w14:paraId="3A6CCD15" w14:textId="77777777" w:rsidR="00155B6B" w:rsidRDefault="00E80DA7">
      <w:pPr>
        <w:rPr>
          <w:b/>
        </w:rPr>
      </w:pPr>
      <w:r>
        <w:rPr>
          <w:b/>
        </w:rPr>
        <w:br/>
        <w:t xml:space="preserve">1. </w:t>
      </w:r>
      <w:r w:rsidR="00422C6B">
        <w:rPr>
          <w:b/>
        </w:rPr>
        <w:t>Det anbe</w:t>
      </w:r>
      <w:r w:rsidR="00155B6B">
        <w:rPr>
          <w:b/>
        </w:rPr>
        <w:t>fales, at projektet</w:t>
      </w:r>
      <w:r w:rsidR="00155B6B" w:rsidRPr="00155B6B">
        <w:rPr>
          <w:b/>
        </w:rPr>
        <w:t xml:space="preserve"> indgå</w:t>
      </w:r>
      <w:r w:rsidR="00155B6B">
        <w:rPr>
          <w:b/>
        </w:rPr>
        <w:t>r</w:t>
      </w:r>
      <w:r w:rsidR="00155B6B" w:rsidRPr="00155B6B">
        <w:rPr>
          <w:b/>
        </w:rPr>
        <w:t xml:space="preserve"> i dialog med de </w:t>
      </w:r>
      <w:r w:rsidR="007E23C1">
        <w:rPr>
          <w:b/>
        </w:rPr>
        <w:t>interessenter</w:t>
      </w:r>
      <w:r w:rsidR="00155B6B" w:rsidRPr="00155B6B">
        <w:rPr>
          <w:b/>
        </w:rPr>
        <w:t xml:space="preserve"> der kan opleve væsentlige økonomiske konsekvenser,</w:t>
      </w:r>
      <w:r w:rsidR="00155B6B">
        <w:rPr>
          <w:b/>
        </w:rPr>
        <w:t xml:space="preserve"> eksempelvis</w:t>
      </w:r>
      <w:r w:rsidR="00155B6B" w:rsidRPr="00155B6B">
        <w:rPr>
          <w:b/>
        </w:rPr>
        <w:t xml:space="preserve"> forsikrings</w:t>
      </w:r>
      <w:r w:rsidR="00155B6B">
        <w:rPr>
          <w:b/>
        </w:rPr>
        <w:t>selskaber, ejendomsmægler</w:t>
      </w:r>
      <w:r w:rsidR="007E23C1">
        <w:rPr>
          <w:b/>
        </w:rPr>
        <w:t>e</w:t>
      </w:r>
      <w:r w:rsidR="00155B6B">
        <w:rPr>
          <w:b/>
        </w:rPr>
        <w:t xml:space="preserve"> og hus</w:t>
      </w:r>
      <w:r w:rsidR="007E23C1">
        <w:rPr>
          <w:b/>
        </w:rPr>
        <w:t xml:space="preserve">ejere. </w:t>
      </w:r>
    </w:p>
    <w:p w14:paraId="7B0470E6" w14:textId="77777777" w:rsidR="007E23C1" w:rsidRPr="007E23C1" w:rsidRDefault="007E23C1">
      <w:r>
        <w:t>Reviewboardet finder det relevant at projektet inddrager repræsentanter fra grupper der kan opleve betydelige konsekvenser af HIPs prognoser. I særdeles tænkes på ejere af ejendom ved kyststrækninger der kan opleve stor</w:t>
      </w:r>
      <w:r w:rsidR="00611391">
        <w:t>e økonomiske tab, hvis HIP forudsiger</w:t>
      </w:r>
      <w:r>
        <w:t xml:space="preserve"> at området oversvø</w:t>
      </w:r>
      <w:r w:rsidR="00611391">
        <w:t>mmes i fremtiden. Det bør afklares hvordan forsikringsselskaber og lignende vil forholde sig til den slags prognoser. Ligeledes bør de afklares hvordan disse interessenter forholder sig til ændringer af prognoser som de allerede har taget højde for.</w:t>
      </w:r>
      <w:r w:rsidR="00FB3362">
        <w:t xml:space="preserve"> Det er ikke utænkeligt at nogle skadeslidte interessenter vil søge erstatning hos HIP, og dette bør projektet tage højde for inden lancering.</w:t>
      </w:r>
    </w:p>
    <w:p w14:paraId="746C1253" w14:textId="3B060161" w:rsidR="00611391" w:rsidRDefault="00546FB1" w:rsidP="00546FB1">
      <w:pPr>
        <w:rPr>
          <w:b/>
        </w:rPr>
      </w:pPr>
      <w:r>
        <w:rPr>
          <w:b/>
        </w:rPr>
        <w:t xml:space="preserve">2. Det anbefales, at projektet </w:t>
      </w:r>
      <w:r w:rsidRPr="00155B6B">
        <w:rPr>
          <w:b/>
        </w:rPr>
        <w:t>indgå</w:t>
      </w:r>
      <w:r>
        <w:rPr>
          <w:b/>
        </w:rPr>
        <w:t>r</w:t>
      </w:r>
      <w:r w:rsidRPr="00155B6B">
        <w:rPr>
          <w:b/>
        </w:rPr>
        <w:t xml:space="preserve"> i l</w:t>
      </w:r>
      <w:r w:rsidR="00611391">
        <w:rPr>
          <w:b/>
        </w:rPr>
        <w:t>øbende dialog med anvendere angående konkret anvendelse,</w:t>
      </w:r>
      <w:r w:rsidRPr="00155B6B">
        <w:rPr>
          <w:b/>
        </w:rPr>
        <w:t xml:space="preserve"> behov for datakvalitet</w:t>
      </w:r>
      <w:r w:rsidR="00611391">
        <w:rPr>
          <w:b/>
        </w:rPr>
        <w:t xml:space="preserve"> samt indberetninger af fejl </w:t>
      </w:r>
      <w:r w:rsidR="00A458D5">
        <w:rPr>
          <w:b/>
        </w:rPr>
        <w:t xml:space="preserve">i </w:t>
      </w:r>
      <w:r w:rsidR="00611391">
        <w:rPr>
          <w:b/>
        </w:rPr>
        <w:t>data</w:t>
      </w:r>
      <w:r w:rsidRPr="00155B6B">
        <w:rPr>
          <w:b/>
        </w:rPr>
        <w:t xml:space="preserve">. </w:t>
      </w:r>
    </w:p>
    <w:p w14:paraId="7107F435" w14:textId="0B704233" w:rsidR="00611391" w:rsidRPr="00611391" w:rsidRDefault="00611391" w:rsidP="00546FB1">
      <w:r>
        <w:t xml:space="preserve">For at indsamle løbende erfaringer om brugen af HIP og finde de mest frugtbare veje til forbedringer af systemet </w:t>
      </w:r>
      <w:r w:rsidR="004215CF">
        <w:t>kan projektet etablere et anvenderforum, hvor de største anvendergrupper er repræsenteret, og kan komme med ønsker og erfaringer fra deres brug af systemet. Derudover anbefaler reviewboardet at projektet opretter e</w:t>
      </w:r>
      <w:r w:rsidR="00A70FC8">
        <w:t>n</w:t>
      </w:r>
      <w:r w:rsidR="004215CF">
        <w:t xml:space="preserve"> konkret </w:t>
      </w:r>
      <w:r w:rsidR="00C60C01">
        <w:t xml:space="preserve">snitflade </w:t>
      </w:r>
      <w:r w:rsidR="004215CF">
        <w:t>til indberetninger af rettelser af data.</w:t>
      </w:r>
    </w:p>
    <w:p w14:paraId="59309169" w14:textId="77777777" w:rsidR="00B02137" w:rsidRDefault="004215CF" w:rsidP="00546FB1">
      <w:pPr>
        <w:rPr>
          <w:b/>
        </w:rPr>
      </w:pPr>
      <w:r>
        <w:rPr>
          <w:b/>
        </w:rPr>
        <w:t>3</w:t>
      </w:r>
      <w:r w:rsidR="00E80DA7">
        <w:rPr>
          <w:b/>
        </w:rPr>
        <w:t xml:space="preserve">. </w:t>
      </w:r>
      <w:r w:rsidR="00422C6B">
        <w:rPr>
          <w:b/>
        </w:rPr>
        <w:t>Det anbefales, at p</w:t>
      </w:r>
      <w:r w:rsidR="00E80DA7">
        <w:rPr>
          <w:b/>
        </w:rPr>
        <w:t xml:space="preserve">rojektet </w:t>
      </w:r>
      <w:r w:rsidR="00155B6B" w:rsidRPr="00155B6B">
        <w:rPr>
          <w:b/>
        </w:rPr>
        <w:t>stille</w:t>
      </w:r>
      <w:r w:rsidR="00155B6B">
        <w:rPr>
          <w:b/>
        </w:rPr>
        <w:t>r tydeligere krav til data</w:t>
      </w:r>
      <w:r w:rsidR="00155B6B" w:rsidRPr="00155B6B">
        <w:rPr>
          <w:b/>
        </w:rPr>
        <w:t>leverandørerne om kvaliteten af meta</w:t>
      </w:r>
      <w:r w:rsidR="00B02137">
        <w:rPr>
          <w:b/>
        </w:rPr>
        <w:t>data og beskrivelse af kvalitet, samt påbegynde overvejelser om de konkrete krav en dataleverandør skal leve op til for at være en del af HIP.</w:t>
      </w:r>
    </w:p>
    <w:p w14:paraId="3747423C" w14:textId="7C6E9BCE" w:rsidR="007B6E2E" w:rsidRPr="00FD1325" w:rsidRDefault="00B02137" w:rsidP="00FD1325">
      <w:pPr>
        <w:rPr>
          <w:b/>
        </w:rPr>
      </w:pPr>
      <w:r w:rsidRPr="00B02137">
        <w:t xml:space="preserve">Det </w:t>
      </w:r>
      <w:r>
        <w:t>er vigtigt at HIP kan stille tydelige krav til leverandørerne af data om</w:t>
      </w:r>
      <w:r w:rsidR="00C60C01">
        <w:t xml:space="preserve"> fyldestgørende metadata og</w:t>
      </w:r>
      <w:r>
        <w:t xml:space="preserve"> </w:t>
      </w:r>
      <w:r w:rsidR="00A458D5">
        <w:t xml:space="preserve">stærke definitioner </w:t>
      </w:r>
      <w:r>
        <w:t xml:space="preserve">af den data der bliver leveret, således at HIP </w:t>
      </w:r>
      <w:r w:rsidR="00A458D5">
        <w:t>kan give</w:t>
      </w:r>
      <w:r>
        <w:t xml:space="preserve"> en konkret og retvisende ”varedeklaration” </w:t>
      </w:r>
      <w:r w:rsidR="00A458D5">
        <w:t>af det data der udstilles</w:t>
      </w:r>
      <w:r w:rsidRPr="009B7997">
        <w:t>.</w:t>
      </w:r>
      <w:r w:rsidR="009B7997">
        <w:t xml:space="preserve"> Projektet kan med fordel holde sig orientere</w:t>
      </w:r>
      <w:r w:rsidR="00FD1325">
        <w:t>t</w:t>
      </w:r>
      <w:r w:rsidR="009B7997">
        <w:t xml:space="preserve"> </w:t>
      </w:r>
      <w:r w:rsidR="00FD1325">
        <w:t>om</w:t>
      </w:r>
      <w:r w:rsidR="009B7997">
        <w:t xml:space="preserve"> </w:t>
      </w:r>
      <w:r w:rsidR="00FD1325">
        <w:t>det pågående arbejde om et fælles sprog for datakvalitet der udarbejdes i forbindelse med datastrategien i reformen ”Digital service i verdensklasse”. Ligeledes kan projektet orientere sig i datafordelerens datadistributøraftale som inspiration til konkrete krav til dataleverandører.</w:t>
      </w:r>
      <w:r w:rsidR="00A70FC8">
        <w:t xml:space="preserve"> De fællesoffentlige retningslinjer for begrebs- og datamodellering kan ligeledes bidrage til at konkretisere kravene til dataleverandører.</w:t>
      </w:r>
    </w:p>
    <w:p w14:paraId="43C4D083" w14:textId="77777777" w:rsidR="007B6E2E" w:rsidRDefault="00FD1325">
      <w:pPr>
        <w:rPr>
          <w:b/>
        </w:rPr>
      </w:pPr>
      <w:r>
        <w:rPr>
          <w:b/>
        </w:rPr>
        <w:t>4</w:t>
      </w:r>
      <w:r w:rsidR="00E80DA7">
        <w:rPr>
          <w:b/>
        </w:rPr>
        <w:t xml:space="preserve">. </w:t>
      </w:r>
      <w:r w:rsidR="00422C6B">
        <w:rPr>
          <w:b/>
        </w:rPr>
        <w:t>Det anbefales, at p</w:t>
      </w:r>
      <w:r w:rsidR="00E80DA7">
        <w:rPr>
          <w:b/>
        </w:rPr>
        <w:t xml:space="preserve">rojektet </w:t>
      </w:r>
      <w:r w:rsidR="00155B6B" w:rsidRPr="00155B6B">
        <w:rPr>
          <w:b/>
        </w:rPr>
        <w:t>overveje</w:t>
      </w:r>
      <w:r w:rsidR="00155B6B">
        <w:rPr>
          <w:b/>
        </w:rPr>
        <w:t>r</w:t>
      </w:r>
      <w:r w:rsidR="00155B6B" w:rsidRPr="00155B6B">
        <w:rPr>
          <w:b/>
        </w:rPr>
        <w:t xml:space="preserve"> hvordan udstillinger af data til lægmand bør påvirke dokumentationen. Dokumentationen bør tilrettes målgruppen.</w:t>
      </w:r>
    </w:p>
    <w:p w14:paraId="70800DD3" w14:textId="77777777" w:rsidR="007B6E2E" w:rsidRDefault="00FD1325">
      <w:r>
        <w:t xml:space="preserve">Reviewboardet ser en fremtidig udfordring for projektet, i udstillingen af data til lægmand, og forklaringen af hvilken tiltro der kan tillægges hvilke data. Ud over en tydelig varedeklaration i form af metadata og beskrivelse af datakvalitet til professionelle anvendere bør HIP forberede sig på at skulle formidle denne viden til en mindre teknisk kyndig målgruppe af lægfolk med interesse i hydrologisk information. </w:t>
      </w:r>
    </w:p>
    <w:p w14:paraId="7B9F487E" w14:textId="77777777" w:rsidR="007B6E2E" w:rsidRDefault="00FD1325">
      <w:pPr>
        <w:rPr>
          <w:b/>
        </w:rPr>
      </w:pPr>
      <w:r>
        <w:rPr>
          <w:b/>
        </w:rPr>
        <w:t>5</w:t>
      </w:r>
      <w:r w:rsidR="00E80DA7">
        <w:rPr>
          <w:b/>
        </w:rPr>
        <w:t xml:space="preserve">. </w:t>
      </w:r>
      <w:r w:rsidR="00422C6B">
        <w:rPr>
          <w:b/>
        </w:rPr>
        <w:t xml:space="preserve">Det anbefales, at </w:t>
      </w:r>
      <w:r w:rsidR="00422C6B" w:rsidRPr="00155B6B">
        <w:rPr>
          <w:b/>
        </w:rPr>
        <w:t>p</w:t>
      </w:r>
      <w:r w:rsidR="00E80DA7" w:rsidRPr="00155B6B">
        <w:rPr>
          <w:b/>
        </w:rPr>
        <w:t xml:space="preserve">rojektet </w:t>
      </w:r>
      <w:r w:rsidR="00155B6B" w:rsidRPr="00155B6B">
        <w:rPr>
          <w:b/>
        </w:rPr>
        <w:t>etablerer en styringsorganisation der håndterer ejerskab og udvikling af HIP</w:t>
      </w:r>
      <w:r w:rsidR="00155B6B">
        <w:rPr>
          <w:b/>
        </w:rPr>
        <w:t>.</w:t>
      </w:r>
    </w:p>
    <w:p w14:paraId="28ACF8E5" w14:textId="321CBD59" w:rsidR="00F73049" w:rsidRDefault="00F73049">
      <w:r>
        <w:lastRenderedPageBreak/>
        <w:t xml:space="preserve">For at imødekomme forskellige ønsker og målsætninger i den nærmeste interessentkreds bør HIP etablere en styringsorganisation med repræsentanter ejerkredsen, </w:t>
      </w:r>
      <w:r w:rsidR="007D629A">
        <w:t>leverandørerne</w:t>
      </w:r>
      <w:r>
        <w:t xml:space="preserve"> af den tekniske infrastruktur, samt </w:t>
      </w:r>
      <w:r w:rsidR="007D629A">
        <w:t>de største dataleverandører og -</w:t>
      </w:r>
      <w:r>
        <w:t xml:space="preserve">brugere.  </w:t>
      </w:r>
    </w:p>
    <w:p w14:paraId="0ED52B0F" w14:textId="77777777" w:rsidR="007B6E2E" w:rsidRDefault="00FD1325">
      <w:pPr>
        <w:rPr>
          <w:b/>
        </w:rPr>
      </w:pPr>
      <w:r>
        <w:rPr>
          <w:b/>
        </w:rPr>
        <w:t>6</w:t>
      </w:r>
      <w:r w:rsidR="00E80DA7">
        <w:rPr>
          <w:b/>
        </w:rPr>
        <w:t xml:space="preserve">. </w:t>
      </w:r>
      <w:r w:rsidR="00422C6B">
        <w:rPr>
          <w:b/>
        </w:rPr>
        <w:t>Det anbefales, at p</w:t>
      </w:r>
      <w:r w:rsidR="00FB3362">
        <w:rPr>
          <w:b/>
        </w:rPr>
        <w:t>rojektet</w:t>
      </w:r>
      <w:r w:rsidR="00E80DA7">
        <w:rPr>
          <w:b/>
        </w:rPr>
        <w:t xml:space="preserve"> </w:t>
      </w:r>
      <w:r w:rsidR="00546FB1" w:rsidRPr="00546FB1">
        <w:rPr>
          <w:b/>
        </w:rPr>
        <w:t>overveje</w:t>
      </w:r>
      <w:r w:rsidR="00546FB1">
        <w:rPr>
          <w:b/>
        </w:rPr>
        <w:t>r</w:t>
      </w:r>
      <w:r w:rsidR="00546FB1" w:rsidRPr="00546FB1">
        <w:rPr>
          <w:b/>
        </w:rPr>
        <w:t xml:space="preserve"> om</w:t>
      </w:r>
      <w:r w:rsidR="00546FB1">
        <w:rPr>
          <w:b/>
        </w:rPr>
        <w:t>-</w:t>
      </w:r>
      <w:r w:rsidR="00546FB1" w:rsidRPr="00546FB1">
        <w:rPr>
          <w:b/>
        </w:rPr>
        <w:t xml:space="preserve">, og hvordan </w:t>
      </w:r>
      <w:r w:rsidR="00FB3362">
        <w:rPr>
          <w:b/>
        </w:rPr>
        <w:t>HIP</w:t>
      </w:r>
      <w:r w:rsidR="00546FB1" w:rsidRPr="00546FB1">
        <w:rPr>
          <w:b/>
        </w:rPr>
        <w:t xml:space="preserve"> bearbejder begrebs- og datamodeller særligt ved identificering af overlap og uoverensstemmels</w:t>
      </w:r>
      <w:r w:rsidR="00546FB1">
        <w:rPr>
          <w:b/>
        </w:rPr>
        <w:t>er mellem de udstillede datasæt</w:t>
      </w:r>
      <w:r w:rsidR="00E80DA7">
        <w:rPr>
          <w:b/>
        </w:rPr>
        <w:t>.</w:t>
      </w:r>
    </w:p>
    <w:p w14:paraId="22E184F7" w14:textId="4B7A5B15" w:rsidR="007B6E2E" w:rsidRDefault="00FD1325">
      <w:r>
        <w:t xml:space="preserve">I forbindelse med sammenstilling af forskelige datasæt på den samme platform </w:t>
      </w:r>
      <w:r w:rsidR="00C60C01">
        <w:t>kan den semantiske betydning af data have konsekvens for en succesfuld sammenstilling</w:t>
      </w:r>
      <w:r w:rsidR="00FB3362">
        <w:t xml:space="preserve"> af begrebs- og datamodeller. Der </w:t>
      </w:r>
      <w:r w:rsidR="00F73049">
        <w:t>kan forekomme uovere</w:t>
      </w:r>
      <w:r w:rsidR="00FB3362">
        <w:t>ns</w:t>
      </w:r>
      <w:r w:rsidR="00F73049">
        <w:t>s</w:t>
      </w:r>
      <w:r w:rsidR="00FB3362">
        <w:t xml:space="preserve">temmelser og overlap mellem forskellige modeller og </w:t>
      </w:r>
      <w:r w:rsidR="009C6CA7">
        <w:t xml:space="preserve">samme </w:t>
      </w:r>
      <w:r w:rsidR="00FB3362">
        <w:t>begreb</w:t>
      </w:r>
      <w:r w:rsidR="009C6CA7">
        <w:t xml:space="preserve"> kan</w:t>
      </w:r>
      <w:r w:rsidR="00FB3362">
        <w:t xml:space="preserve"> have forskellige betydninger</w:t>
      </w:r>
      <w:r w:rsidR="009C6CA7">
        <w:t xml:space="preserve"> eller to begreber kan have samme betydning</w:t>
      </w:r>
      <w:r w:rsidR="00FB3362">
        <w:t xml:space="preserve"> afhængig af model. Projektet </w:t>
      </w:r>
      <w:r w:rsidR="00F73049">
        <w:t>bør</w:t>
      </w:r>
      <w:bookmarkStart w:id="10" w:name="_jxu64ngcuie4" w:colFirst="0" w:colLast="0"/>
      <w:bookmarkEnd w:id="10"/>
      <w:r w:rsidR="00F73049">
        <w:t xml:space="preserve"> på forhånd have overvejet i hvor høj grad HIP skal bearbejde modeller selv, og facilitere en generel konsensus for begreber og modeller omkring vand.</w:t>
      </w:r>
      <w:r w:rsidR="009C6CA7">
        <w:t xml:space="preserve"> </w:t>
      </w:r>
    </w:p>
    <w:sectPr w:rsidR="007B6E2E">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FFAF7" w14:textId="77777777" w:rsidR="00F8145E" w:rsidRDefault="00F8145E">
      <w:pPr>
        <w:spacing w:after="0" w:line="240" w:lineRule="auto"/>
      </w:pPr>
      <w:r>
        <w:separator/>
      </w:r>
    </w:p>
  </w:endnote>
  <w:endnote w:type="continuationSeparator" w:id="0">
    <w:p w14:paraId="48207445" w14:textId="77777777" w:rsidR="00F8145E" w:rsidRDefault="00F8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295FE" w14:textId="77777777" w:rsidR="00114216" w:rsidRDefault="0011421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0B76" w14:textId="41F9499B" w:rsidR="007B6E2E" w:rsidRPr="00114216" w:rsidRDefault="007B6E2E" w:rsidP="00114216">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74DF" w14:textId="77777777" w:rsidR="00114216" w:rsidRDefault="0011421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14F1A" w14:textId="77777777" w:rsidR="00F8145E" w:rsidRDefault="00F8145E">
      <w:pPr>
        <w:spacing w:after="0" w:line="240" w:lineRule="auto"/>
      </w:pPr>
      <w:r>
        <w:separator/>
      </w:r>
    </w:p>
  </w:footnote>
  <w:footnote w:type="continuationSeparator" w:id="0">
    <w:p w14:paraId="6231F530" w14:textId="77777777" w:rsidR="00F8145E" w:rsidRDefault="00F81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6B33" w14:textId="77777777" w:rsidR="00114216" w:rsidRDefault="0011421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732A" w14:textId="77777777" w:rsidR="007B6E2E" w:rsidRPr="00114216" w:rsidRDefault="007B6E2E" w:rsidP="0011421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12A6" w14:textId="77777777" w:rsidR="00114216" w:rsidRDefault="0011421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2E"/>
    <w:rsid w:val="00026761"/>
    <w:rsid w:val="00114216"/>
    <w:rsid w:val="00144B04"/>
    <w:rsid w:val="00155B6B"/>
    <w:rsid w:val="00171205"/>
    <w:rsid w:val="002A4E29"/>
    <w:rsid w:val="0038287E"/>
    <w:rsid w:val="003D3708"/>
    <w:rsid w:val="00406438"/>
    <w:rsid w:val="004215CF"/>
    <w:rsid w:val="00422C6B"/>
    <w:rsid w:val="00473CAF"/>
    <w:rsid w:val="00534E09"/>
    <w:rsid w:val="00546FB1"/>
    <w:rsid w:val="005B26FA"/>
    <w:rsid w:val="005B7A67"/>
    <w:rsid w:val="005E14B6"/>
    <w:rsid w:val="00611391"/>
    <w:rsid w:val="00680F05"/>
    <w:rsid w:val="006B7FD4"/>
    <w:rsid w:val="006E21E5"/>
    <w:rsid w:val="007136E5"/>
    <w:rsid w:val="00756671"/>
    <w:rsid w:val="0079680E"/>
    <w:rsid w:val="007B6E2E"/>
    <w:rsid w:val="007C50DC"/>
    <w:rsid w:val="007D629A"/>
    <w:rsid w:val="007E23C1"/>
    <w:rsid w:val="008160B9"/>
    <w:rsid w:val="008449CA"/>
    <w:rsid w:val="0086400B"/>
    <w:rsid w:val="00884D5E"/>
    <w:rsid w:val="008A161D"/>
    <w:rsid w:val="008C3685"/>
    <w:rsid w:val="008E2098"/>
    <w:rsid w:val="00903335"/>
    <w:rsid w:val="0099225C"/>
    <w:rsid w:val="009B7997"/>
    <w:rsid w:val="009C0C23"/>
    <w:rsid w:val="009C509D"/>
    <w:rsid w:val="009C6CA7"/>
    <w:rsid w:val="009D028D"/>
    <w:rsid w:val="009E0191"/>
    <w:rsid w:val="00A0514D"/>
    <w:rsid w:val="00A458D5"/>
    <w:rsid w:val="00A64D12"/>
    <w:rsid w:val="00A70FC8"/>
    <w:rsid w:val="00AC7553"/>
    <w:rsid w:val="00AE079F"/>
    <w:rsid w:val="00B02137"/>
    <w:rsid w:val="00B10CAF"/>
    <w:rsid w:val="00BD5E39"/>
    <w:rsid w:val="00C60C01"/>
    <w:rsid w:val="00C867F2"/>
    <w:rsid w:val="00D0758E"/>
    <w:rsid w:val="00D66E80"/>
    <w:rsid w:val="00DB69A3"/>
    <w:rsid w:val="00E4021B"/>
    <w:rsid w:val="00E80DA7"/>
    <w:rsid w:val="00ED572F"/>
    <w:rsid w:val="00F73049"/>
    <w:rsid w:val="00F804E0"/>
    <w:rsid w:val="00F8145E"/>
    <w:rsid w:val="00FB3362"/>
    <w:rsid w:val="00FD1325"/>
    <w:rsid w:val="00FF5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7995</Characters>
  <Application>Microsoft Office Word</Application>
  <DocSecurity>0</DocSecurity>
  <Lines>177</Lines>
  <Paragraphs>90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2019-01-23T14:58:00Z</dcterms:created>
  <dcterms:modified xsi:type="dcterms:W3CDTF">2019-01-23T14:58:00Z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