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124B" w14:textId="77777777" w:rsidR="007B6E2E" w:rsidRDefault="007B6E2E"/>
    <w:p w14:paraId="386FBF5B" w14:textId="77777777" w:rsidR="007B6E2E" w:rsidRDefault="007B6E2E"/>
    <w:p w14:paraId="320CE67E" w14:textId="77777777" w:rsidR="007B6E2E" w:rsidRDefault="007B6E2E"/>
    <w:p w14:paraId="33F340D9" w14:textId="77777777" w:rsidR="007B6E2E" w:rsidRDefault="00E80DA7">
      <w:pPr>
        <w:pStyle w:val="Overskrift1"/>
        <w:keepNext w:val="0"/>
        <w:keepLines w:val="0"/>
        <w:spacing w:before="480"/>
        <w:rPr>
          <w:b/>
          <w:i/>
          <w:sz w:val="46"/>
          <w:szCs w:val="46"/>
        </w:rPr>
      </w:pPr>
      <w:bookmarkStart w:id="0" w:name="_gjdgxs" w:colFirst="0" w:colLast="0"/>
      <w:bookmarkStart w:id="1" w:name="_Toc29215455"/>
      <w:bookmarkEnd w:id="0"/>
      <w:r>
        <w:rPr>
          <w:b/>
          <w:i/>
          <w:sz w:val="46"/>
          <w:szCs w:val="46"/>
        </w:rPr>
        <w:t>Styregruppen for data og arkitektur</w:t>
      </w:r>
      <w:bookmarkEnd w:id="1"/>
    </w:p>
    <w:p w14:paraId="160B8CD7" w14:textId="77777777" w:rsidR="007B6E2E" w:rsidRDefault="00E80DA7">
      <w:pPr>
        <w:pStyle w:val="Overskrift1"/>
        <w:keepNext w:val="0"/>
        <w:keepLines w:val="0"/>
        <w:spacing w:before="480"/>
        <w:rPr>
          <w:b/>
          <w:sz w:val="46"/>
          <w:szCs w:val="46"/>
        </w:rPr>
      </w:pPr>
      <w:bookmarkStart w:id="2" w:name="_30j0zll" w:colFirst="0" w:colLast="0"/>
      <w:bookmarkStart w:id="3" w:name="_Toc29215456"/>
      <w:bookmarkEnd w:id="2"/>
      <w:r>
        <w:rPr>
          <w:b/>
          <w:sz w:val="46"/>
          <w:szCs w:val="46"/>
        </w:rPr>
        <w:t xml:space="preserve">Reviewrapport for: </w:t>
      </w:r>
      <w:r>
        <w:rPr>
          <w:b/>
          <w:sz w:val="46"/>
          <w:szCs w:val="46"/>
        </w:rPr>
        <w:br/>
      </w:r>
      <w:r w:rsidR="00C128C5">
        <w:rPr>
          <w:b/>
          <w:sz w:val="46"/>
          <w:szCs w:val="46"/>
        </w:rPr>
        <w:t>Ny NemKonto</w:t>
      </w:r>
      <w:bookmarkEnd w:id="3"/>
    </w:p>
    <w:p w14:paraId="5426DCEF" w14:textId="77777777" w:rsidR="007B6E2E" w:rsidRDefault="007B6E2E"/>
    <w:p w14:paraId="71F6ABF1" w14:textId="7A7A0B2B" w:rsidR="007B6E2E" w:rsidRDefault="009A3938">
      <w:r>
        <w:t>06</w:t>
      </w:r>
      <w:r w:rsidR="00E80DA7">
        <w:t xml:space="preserve">. </w:t>
      </w:r>
      <w:r>
        <w:t>januar 2020</w:t>
      </w:r>
    </w:p>
    <w:p w14:paraId="1F2F24B4" w14:textId="77777777" w:rsidR="007B6E2E" w:rsidRDefault="007B6E2E"/>
    <w:p w14:paraId="6E9FD372" w14:textId="77777777" w:rsidR="007B6E2E" w:rsidRDefault="007B6E2E"/>
    <w:p w14:paraId="047FB640" w14:textId="77777777" w:rsidR="007B6E2E" w:rsidRDefault="007B6E2E"/>
    <w:p w14:paraId="327F7637"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68436457" w14:textId="67C0B0D8" w:rsidR="00CC41A4"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29215455" w:history="1">
            <w:r w:rsidR="00CC41A4" w:rsidRPr="00D416BC">
              <w:rPr>
                <w:rStyle w:val="Hyperlink"/>
                <w:b/>
                <w:i/>
                <w:noProof/>
              </w:rPr>
              <w:t>Styregruppen for data og arkitektur</w:t>
            </w:r>
            <w:r w:rsidR="00CC41A4">
              <w:rPr>
                <w:noProof/>
                <w:webHidden/>
              </w:rPr>
              <w:tab/>
            </w:r>
            <w:r w:rsidR="00CC41A4">
              <w:rPr>
                <w:noProof/>
                <w:webHidden/>
              </w:rPr>
              <w:fldChar w:fldCharType="begin"/>
            </w:r>
            <w:r w:rsidR="00CC41A4">
              <w:rPr>
                <w:noProof/>
                <w:webHidden/>
              </w:rPr>
              <w:instrText xml:space="preserve"> PAGEREF _Toc29215455 \h </w:instrText>
            </w:r>
            <w:r w:rsidR="00CC41A4">
              <w:rPr>
                <w:noProof/>
                <w:webHidden/>
              </w:rPr>
            </w:r>
            <w:r w:rsidR="00CC41A4">
              <w:rPr>
                <w:noProof/>
                <w:webHidden/>
              </w:rPr>
              <w:fldChar w:fldCharType="separate"/>
            </w:r>
            <w:r w:rsidR="00CC41A4">
              <w:rPr>
                <w:noProof/>
                <w:webHidden/>
              </w:rPr>
              <w:t>1</w:t>
            </w:r>
            <w:r w:rsidR="00CC41A4">
              <w:rPr>
                <w:noProof/>
                <w:webHidden/>
              </w:rPr>
              <w:fldChar w:fldCharType="end"/>
            </w:r>
          </w:hyperlink>
        </w:p>
        <w:p w14:paraId="7C6D5689" w14:textId="2A3C2293" w:rsidR="00CC41A4" w:rsidRDefault="008131F6">
          <w:pPr>
            <w:pStyle w:val="Indholdsfortegnelse1"/>
            <w:tabs>
              <w:tab w:val="right" w:pos="9019"/>
            </w:tabs>
            <w:rPr>
              <w:rFonts w:asciiTheme="minorHAnsi" w:eastAsiaTheme="minorEastAsia" w:hAnsiTheme="minorHAnsi" w:cstheme="minorBidi"/>
              <w:noProof/>
            </w:rPr>
          </w:pPr>
          <w:hyperlink w:anchor="_Toc29215456" w:history="1">
            <w:r w:rsidR="00CC41A4" w:rsidRPr="00D416BC">
              <w:rPr>
                <w:rStyle w:val="Hyperlink"/>
                <w:b/>
                <w:noProof/>
              </w:rPr>
              <w:t>Reviewrapport for:  Ny NemKonto</w:t>
            </w:r>
            <w:r w:rsidR="00CC41A4">
              <w:rPr>
                <w:noProof/>
                <w:webHidden/>
              </w:rPr>
              <w:tab/>
            </w:r>
            <w:r w:rsidR="00CC41A4">
              <w:rPr>
                <w:noProof/>
                <w:webHidden/>
              </w:rPr>
              <w:fldChar w:fldCharType="begin"/>
            </w:r>
            <w:r w:rsidR="00CC41A4">
              <w:rPr>
                <w:noProof/>
                <w:webHidden/>
              </w:rPr>
              <w:instrText xml:space="preserve"> PAGEREF _Toc29215456 \h </w:instrText>
            </w:r>
            <w:r w:rsidR="00CC41A4">
              <w:rPr>
                <w:noProof/>
                <w:webHidden/>
              </w:rPr>
            </w:r>
            <w:r w:rsidR="00CC41A4">
              <w:rPr>
                <w:noProof/>
                <w:webHidden/>
              </w:rPr>
              <w:fldChar w:fldCharType="separate"/>
            </w:r>
            <w:r w:rsidR="00CC41A4">
              <w:rPr>
                <w:noProof/>
                <w:webHidden/>
              </w:rPr>
              <w:t>1</w:t>
            </w:r>
            <w:r w:rsidR="00CC41A4">
              <w:rPr>
                <w:noProof/>
                <w:webHidden/>
              </w:rPr>
              <w:fldChar w:fldCharType="end"/>
            </w:r>
          </w:hyperlink>
        </w:p>
        <w:p w14:paraId="099DCC6B" w14:textId="73C6B67E" w:rsidR="00CC41A4" w:rsidRDefault="008131F6">
          <w:pPr>
            <w:pStyle w:val="Indholdsfortegnelse1"/>
            <w:tabs>
              <w:tab w:val="right" w:pos="9019"/>
            </w:tabs>
            <w:rPr>
              <w:rFonts w:asciiTheme="minorHAnsi" w:eastAsiaTheme="minorEastAsia" w:hAnsiTheme="minorHAnsi" w:cstheme="minorBidi"/>
              <w:noProof/>
            </w:rPr>
          </w:pPr>
          <w:hyperlink w:anchor="_Toc29215457" w:history="1">
            <w:r w:rsidR="00CC41A4" w:rsidRPr="00D416BC">
              <w:rPr>
                <w:rStyle w:val="Hyperlink"/>
                <w:noProof/>
              </w:rPr>
              <w:t>Ny NemKonto</w:t>
            </w:r>
            <w:r w:rsidR="00CC41A4">
              <w:rPr>
                <w:noProof/>
                <w:webHidden/>
              </w:rPr>
              <w:tab/>
            </w:r>
            <w:r w:rsidR="00CC41A4">
              <w:rPr>
                <w:noProof/>
                <w:webHidden/>
              </w:rPr>
              <w:fldChar w:fldCharType="begin"/>
            </w:r>
            <w:r w:rsidR="00CC41A4">
              <w:rPr>
                <w:noProof/>
                <w:webHidden/>
              </w:rPr>
              <w:instrText xml:space="preserve"> PAGEREF _Toc29215457 \h </w:instrText>
            </w:r>
            <w:r w:rsidR="00CC41A4">
              <w:rPr>
                <w:noProof/>
                <w:webHidden/>
              </w:rPr>
            </w:r>
            <w:r w:rsidR="00CC41A4">
              <w:rPr>
                <w:noProof/>
                <w:webHidden/>
              </w:rPr>
              <w:fldChar w:fldCharType="separate"/>
            </w:r>
            <w:r w:rsidR="00CC41A4">
              <w:rPr>
                <w:noProof/>
                <w:webHidden/>
              </w:rPr>
              <w:t>2</w:t>
            </w:r>
            <w:r w:rsidR="00CC41A4">
              <w:rPr>
                <w:noProof/>
                <w:webHidden/>
              </w:rPr>
              <w:fldChar w:fldCharType="end"/>
            </w:r>
          </w:hyperlink>
        </w:p>
        <w:p w14:paraId="05B7E816" w14:textId="037FA5E9" w:rsidR="00CC41A4" w:rsidRDefault="008131F6">
          <w:pPr>
            <w:pStyle w:val="Indholdsfortegnelse1"/>
            <w:tabs>
              <w:tab w:val="right" w:pos="9019"/>
            </w:tabs>
            <w:rPr>
              <w:rFonts w:asciiTheme="minorHAnsi" w:eastAsiaTheme="minorEastAsia" w:hAnsiTheme="minorHAnsi" w:cstheme="minorBidi"/>
              <w:noProof/>
            </w:rPr>
          </w:pPr>
          <w:hyperlink w:anchor="_Toc29215458" w:history="1">
            <w:r w:rsidR="00CC41A4" w:rsidRPr="00D416BC">
              <w:rPr>
                <w:rStyle w:val="Hyperlink"/>
                <w:noProof/>
              </w:rPr>
              <w:t>Projektresume</w:t>
            </w:r>
            <w:r w:rsidR="00CC41A4">
              <w:rPr>
                <w:noProof/>
                <w:webHidden/>
              </w:rPr>
              <w:tab/>
            </w:r>
            <w:r w:rsidR="00CC41A4">
              <w:rPr>
                <w:noProof/>
                <w:webHidden/>
              </w:rPr>
              <w:fldChar w:fldCharType="begin"/>
            </w:r>
            <w:r w:rsidR="00CC41A4">
              <w:rPr>
                <w:noProof/>
                <w:webHidden/>
              </w:rPr>
              <w:instrText xml:space="preserve"> PAGEREF _Toc29215458 \h </w:instrText>
            </w:r>
            <w:r w:rsidR="00CC41A4">
              <w:rPr>
                <w:noProof/>
                <w:webHidden/>
              </w:rPr>
            </w:r>
            <w:r w:rsidR="00CC41A4">
              <w:rPr>
                <w:noProof/>
                <w:webHidden/>
              </w:rPr>
              <w:fldChar w:fldCharType="separate"/>
            </w:r>
            <w:r w:rsidR="00CC41A4">
              <w:rPr>
                <w:noProof/>
                <w:webHidden/>
              </w:rPr>
              <w:t>2</w:t>
            </w:r>
            <w:r w:rsidR="00CC41A4">
              <w:rPr>
                <w:noProof/>
                <w:webHidden/>
              </w:rPr>
              <w:fldChar w:fldCharType="end"/>
            </w:r>
          </w:hyperlink>
        </w:p>
        <w:p w14:paraId="7B4F44D8" w14:textId="37766F27" w:rsidR="00CC41A4" w:rsidRDefault="008131F6">
          <w:pPr>
            <w:pStyle w:val="Indholdsfortegnelse1"/>
            <w:tabs>
              <w:tab w:val="right" w:pos="9019"/>
            </w:tabs>
            <w:rPr>
              <w:rFonts w:asciiTheme="minorHAnsi" w:eastAsiaTheme="minorEastAsia" w:hAnsiTheme="minorHAnsi" w:cstheme="minorBidi"/>
              <w:noProof/>
            </w:rPr>
          </w:pPr>
          <w:hyperlink w:anchor="_Toc29215459" w:history="1">
            <w:r w:rsidR="00CC41A4" w:rsidRPr="00D416BC">
              <w:rPr>
                <w:rStyle w:val="Hyperlink"/>
                <w:noProof/>
              </w:rPr>
              <w:t>Anbefalinger</w:t>
            </w:r>
            <w:r w:rsidR="00CC41A4">
              <w:rPr>
                <w:noProof/>
                <w:webHidden/>
              </w:rPr>
              <w:tab/>
            </w:r>
            <w:r w:rsidR="00CC41A4">
              <w:rPr>
                <w:noProof/>
                <w:webHidden/>
              </w:rPr>
              <w:fldChar w:fldCharType="begin"/>
            </w:r>
            <w:r w:rsidR="00CC41A4">
              <w:rPr>
                <w:noProof/>
                <w:webHidden/>
              </w:rPr>
              <w:instrText xml:space="preserve"> PAGEREF _Toc29215459 \h </w:instrText>
            </w:r>
            <w:r w:rsidR="00CC41A4">
              <w:rPr>
                <w:noProof/>
                <w:webHidden/>
              </w:rPr>
            </w:r>
            <w:r w:rsidR="00CC41A4">
              <w:rPr>
                <w:noProof/>
                <w:webHidden/>
              </w:rPr>
              <w:fldChar w:fldCharType="separate"/>
            </w:r>
            <w:r w:rsidR="00CC41A4">
              <w:rPr>
                <w:noProof/>
                <w:webHidden/>
              </w:rPr>
              <w:t>3</w:t>
            </w:r>
            <w:r w:rsidR="00CC41A4">
              <w:rPr>
                <w:noProof/>
                <w:webHidden/>
              </w:rPr>
              <w:fldChar w:fldCharType="end"/>
            </w:r>
          </w:hyperlink>
        </w:p>
        <w:p w14:paraId="2B10FCCB" w14:textId="38347EE8" w:rsidR="00CC41A4" w:rsidRDefault="008131F6">
          <w:pPr>
            <w:pStyle w:val="Indholdsfortegnelse2"/>
            <w:tabs>
              <w:tab w:val="right" w:pos="9019"/>
            </w:tabs>
            <w:rPr>
              <w:rFonts w:asciiTheme="minorHAnsi" w:eastAsiaTheme="minorEastAsia" w:hAnsiTheme="minorHAnsi" w:cstheme="minorBidi"/>
              <w:noProof/>
            </w:rPr>
          </w:pPr>
          <w:hyperlink w:anchor="_Toc29215460" w:history="1">
            <w:r w:rsidR="00CC41A4" w:rsidRPr="00D416BC">
              <w:rPr>
                <w:rStyle w:val="Hyperlink"/>
                <w:noProof/>
              </w:rPr>
              <w:t>Anbefalinger til de nuværende projekter</w:t>
            </w:r>
            <w:r w:rsidR="00CC41A4">
              <w:rPr>
                <w:noProof/>
                <w:webHidden/>
              </w:rPr>
              <w:tab/>
            </w:r>
            <w:r w:rsidR="00CC41A4">
              <w:rPr>
                <w:noProof/>
                <w:webHidden/>
              </w:rPr>
              <w:fldChar w:fldCharType="begin"/>
            </w:r>
            <w:r w:rsidR="00CC41A4">
              <w:rPr>
                <w:noProof/>
                <w:webHidden/>
              </w:rPr>
              <w:instrText xml:space="preserve"> PAGEREF _Toc29215460 \h </w:instrText>
            </w:r>
            <w:r w:rsidR="00CC41A4">
              <w:rPr>
                <w:noProof/>
                <w:webHidden/>
              </w:rPr>
            </w:r>
            <w:r w:rsidR="00CC41A4">
              <w:rPr>
                <w:noProof/>
                <w:webHidden/>
              </w:rPr>
              <w:fldChar w:fldCharType="separate"/>
            </w:r>
            <w:r w:rsidR="00CC41A4">
              <w:rPr>
                <w:noProof/>
                <w:webHidden/>
              </w:rPr>
              <w:t>3</w:t>
            </w:r>
            <w:r w:rsidR="00CC41A4">
              <w:rPr>
                <w:noProof/>
                <w:webHidden/>
              </w:rPr>
              <w:fldChar w:fldCharType="end"/>
            </w:r>
          </w:hyperlink>
        </w:p>
        <w:p w14:paraId="45BEC7FF" w14:textId="572FE1C5" w:rsidR="00CC41A4" w:rsidRDefault="008131F6">
          <w:pPr>
            <w:pStyle w:val="Indholdsfortegnelse2"/>
            <w:tabs>
              <w:tab w:val="right" w:pos="9019"/>
            </w:tabs>
            <w:rPr>
              <w:rFonts w:asciiTheme="minorHAnsi" w:eastAsiaTheme="minorEastAsia" w:hAnsiTheme="minorHAnsi" w:cstheme="minorBidi"/>
              <w:noProof/>
            </w:rPr>
          </w:pPr>
          <w:hyperlink w:anchor="_Toc29215461" w:history="1">
            <w:r w:rsidR="00CC41A4" w:rsidRPr="00D416BC">
              <w:rPr>
                <w:rStyle w:val="Hyperlink"/>
                <w:noProof/>
              </w:rPr>
              <w:t>Tværgående Anbefalinger</w:t>
            </w:r>
            <w:r w:rsidR="00CC41A4">
              <w:rPr>
                <w:noProof/>
                <w:webHidden/>
              </w:rPr>
              <w:tab/>
            </w:r>
            <w:r w:rsidR="00CC41A4">
              <w:rPr>
                <w:noProof/>
                <w:webHidden/>
              </w:rPr>
              <w:fldChar w:fldCharType="begin"/>
            </w:r>
            <w:r w:rsidR="00CC41A4">
              <w:rPr>
                <w:noProof/>
                <w:webHidden/>
              </w:rPr>
              <w:instrText xml:space="preserve"> PAGEREF _Toc29215461 \h </w:instrText>
            </w:r>
            <w:r w:rsidR="00CC41A4">
              <w:rPr>
                <w:noProof/>
                <w:webHidden/>
              </w:rPr>
            </w:r>
            <w:r w:rsidR="00CC41A4">
              <w:rPr>
                <w:noProof/>
                <w:webHidden/>
              </w:rPr>
              <w:fldChar w:fldCharType="separate"/>
            </w:r>
            <w:r w:rsidR="00CC41A4">
              <w:rPr>
                <w:noProof/>
                <w:webHidden/>
              </w:rPr>
              <w:t>5</w:t>
            </w:r>
            <w:r w:rsidR="00CC41A4">
              <w:rPr>
                <w:noProof/>
                <w:webHidden/>
              </w:rPr>
              <w:fldChar w:fldCharType="end"/>
            </w:r>
          </w:hyperlink>
        </w:p>
        <w:p w14:paraId="408704E2" w14:textId="77777777" w:rsidR="007B6E2E" w:rsidRDefault="00E80DA7">
          <w:pPr>
            <w:tabs>
              <w:tab w:val="right" w:pos="9025"/>
            </w:tabs>
            <w:spacing w:before="60" w:after="80" w:line="240" w:lineRule="auto"/>
            <w:ind w:left="360"/>
          </w:pPr>
          <w:r>
            <w:fldChar w:fldCharType="end"/>
          </w:r>
        </w:p>
      </w:sdtContent>
    </w:sdt>
    <w:p w14:paraId="16D316F7" w14:textId="77777777" w:rsidR="007B6E2E" w:rsidRDefault="007B6E2E"/>
    <w:p w14:paraId="3B24B26F" w14:textId="77777777" w:rsidR="007B6E2E" w:rsidRDefault="007B6E2E"/>
    <w:p w14:paraId="09DE28B7" w14:textId="77777777" w:rsidR="007B6E2E" w:rsidRDefault="007B6E2E"/>
    <w:p w14:paraId="2ACCA689" w14:textId="77777777" w:rsidR="007B6E2E" w:rsidRDefault="00E80DA7">
      <w:bookmarkStart w:id="4" w:name="_1fob9te" w:colFirst="0" w:colLast="0"/>
      <w:bookmarkEnd w:id="4"/>
      <w:r>
        <w:br w:type="page"/>
      </w:r>
    </w:p>
    <w:p w14:paraId="081D9623" w14:textId="77777777" w:rsidR="007B6E2E" w:rsidRDefault="001B2549">
      <w:pPr>
        <w:pStyle w:val="Overskrift1"/>
        <w:keepNext w:val="0"/>
        <w:keepLines w:val="0"/>
        <w:spacing w:after="80"/>
      </w:pPr>
      <w:bookmarkStart w:id="5" w:name="_3znysh7" w:colFirst="0" w:colLast="0"/>
      <w:bookmarkStart w:id="6" w:name="_Toc29215457"/>
      <w:bookmarkEnd w:id="5"/>
      <w:r>
        <w:lastRenderedPageBreak/>
        <w:t>Ny NemKonto</w:t>
      </w:r>
      <w:bookmarkEnd w:id="6"/>
    </w:p>
    <w:p w14:paraId="72157150" w14:textId="11AAFA10" w:rsidR="00220BAE" w:rsidRDefault="00E80DA7" w:rsidP="007F7E57">
      <w:r>
        <w:t xml:space="preserve">Reviewet af </w:t>
      </w:r>
      <w:r w:rsidR="001B2549">
        <w:t xml:space="preserve">Ny </w:t>
      </w:r>
      <w:r w:rsidR="00CC41A4">
        <w:t>NemKonto</w:t>
      </w:r>
      <w:r w:rsidR="006D004C">
        <w:t xml:space="preserve"> er udført </w:t>
      </w:r>
      <w:r w:rsidR="007F7E57">
        <w:t>04</w:t>
      </w:r>
      <w:r>
        <w:t xml:space="preserve">. </w:t>
      </w:r>
      <w:r w:rsidR="007F7E57">
        <w:t>november</w:t>
      </w:r>
      <w:r w:rsidR="00F804E0">
        <w:t xml:space="preserve"> til </w:t>
      </w:r>
      <w:r w:rsidR="00B14A08">
        <w:t>06</w:t>
      </w:r>
      <w:r>
        <w:t xml:space="preserve">. </w:t>
      </w:r>
      <w:r w:rsidR="00B14A08">
        <w:t xml:space="preserve">januar 2020 </w:t>
      </w:r>
      <w:r>
        <w:t>på baggrund af projektets fremsendte materialer:</w:t>
      </w:r>
    </w:p>
    <w:p w14:paraId="3BA8F789" w14:textId="77777777" w:rsidR="007B6E2E" w:rsidRDefault="00F62EF9">
      <w:pPr>
        <w:numPr>
          <w:ilvl w:val="0"/>
          <w:numId w:val="2"/>
        </w:numPr>
        <w:ind w:left="405"/>
        <w:contextualSpacing/>
      </w:pPr>
      <w:r>
        <w:t>Brev fra NemKonto</w:t>
      </w:r>
    </w:p>
    <w:p w14:paraId="5C2D04C8" w14:textId="77777777" w:rsidR="00220BAE" w:rsidRDefault="00F62EF9">
      <w:pPr>
        <w:numPr>
          <w:ilvl w:val="0"/>
          <w:numId w:val="2"/>
        </w:numPr>
        <w:ind w:left="405"/>
        <w:contextualSpacing/>
      </w:pPr>
      <w:r>
        <w:t>NNK ADD v0-3</w:t>
      </w:r>
    </w:p>
    <w:p w14:paraId="461D4778" w14:textId="1D1DADA2" w:rsidR="007F7E57" w:rsidRDefault="00F62EF9" w:rsidP="00292B97">
      <w:pPr>
        <w:numPr>
          <w:ilvl w:val="0"/>
          <w:numId w:val="2"/>
        </w:numPr>
        <w:ind w:left="405"/>
        <w:contextualSpacing/>
      </w:pPr>
      <w:r>
        <w:t xml:space="preserve">Projektgrundlag for Ny </w:t>
      </w:r>
      <w:r w:rsidR="00CC41A4">
        <w:t>NemKonto</w:t>
      </w:r>
      <w:r>
        <w:t xml:space="preserve"> – til IT Rådet</w:t>
      </w:r>
    </w:p>
    <w:p w14:paraId="6C4BA620" w14:textId="169AE5C3" w:rsidR="00220BAE" w:rsidRDefault="00F62EF9" w:rsidP="00292B97">
      <w:pPr>
        <w:numPr>
          <w:ilvl w:val="0"/>
          <w:numId w:val="2"/>
        </w:numPr>
        <w:ind w:left="405"/>
        <w:contextualSpacing/>
      </w:pPr>
      <w:r>
        <w:t xml:space="preserve">It-rådets anbefalingsbrev til projekt Ny </w:t>
      </w:r>
      <w:r w:rsidR="00CC41A4">
        <w:t>NemKonto</w:t>
      </w:r>
    </w:p>
    <w:p w14:paraId="2D310A2B" w14:textId="77777777" w:rsidR="00F62EF9" w:rsidRPr="00292B97" w:rsidRDefault="00F62EF9" w:rsidP="00292B97">
      <w:pPr>
        <w:numPr>
          <w:ilvl w:val="0"/>
          <w:numId w:val="2"/>
        </w:numPr>
        <w:ind w:left="405"/>
        <w:contextualSpacing/>
      </w:pPr>
      <w:r>
        <w:t>Svar til IT-Rådet</w:t>
      </w:r>
      <w:bookmarkStart w:id="7" w:name="_GoBack"/>
      <w:bookmarkEnd w:id="7"/>
    </w:p>
    <w:p w14:paraId="4D5FE6DE" w14:textId="77777777" w:rsidR="007B6E2E" w:rsidRDefault="007F7E57" w:rsidP="00220BAE">
      <w:pPr>
        <w:ind w:left="45"/>
        <w:contextualSpacing/>
      </w:pPr>
      <w:r>
        <w:br/>
      </w:r>
      <w:r w:rsidR="00E80DA7">
        <w:t>Reviewet er udført i overensstemmelse med retningslinjer for arkitekturreviews, godkendt af styregruppen for data</w:t>
      </w:r>
      <w:r w:rsidR="006E21E5">
        <w:t xml:space="preserve"> og arkitektur maj 2017. </w:t>
      </w:r>
      <w:r w:rsidR="00D9465E">
        <w:t>Udgangspunktet for reviewet udgøres af hvidbog om fællesoffe</w:t>
      </w:r>
      <w:r w:rsidR="00D9465E" w:rsidRPr="00276B1D">
        <w:t>ntlig digital arkitektur.</w:t>
      </w:r>
      <w:r w:rsidR="004D0A05" w:rsidRPr="00276B1D">
        <w:t xml:space="preserve"> Det er</w:t>
      </w:r>
      <w:r w:rsidR="00276B1D" w:rsidRPr="00276B1D">
        <w:t xml:space="preserve"> i bilag 1</w:t>
      </w:r>
      <w:r w:rsidR="004D0A05" w:rsidRPr="00276B1D">
        <w:t xml:space="preserve"> udarbejdet en </w:t>
      </w:r>
      <w:r w:rsidR="00276B1D" w:rsidRPr="00276B1D">
        <w:t>kortlægning</w:t>
      </w:r>
      <w:r w:rsidR="004D0A05" w:rsidRPr="00276B1D">
        <w:t xml:space="preserve"> af hv</w:t>
      </w:r>
      <w:r w:rsidR="00276B1D" w:rsidRPr="00276B1D">
        <w:t>ilke arkitekturregler</w:t>
      </w:r>
      <w:r w:rsidR="004D0A05" w:rsidRPr="00276B1D">
        <w:t xml:space="preserve"> </w:t>
      </w:r>
      <w:r w:rsidR="00276B1D" w:rsidRPr="00276B1D">
        <w:t xml:space="preserve">der har motiveret de givne anbefalinger til </w:t>
      </w:r>
      <w:r w:rsidR="004D0A05" w:rsidRPr="00276B1D">
        <w:t>projektet</w:t>
      </w:r>
      <w:r w:rsidR="00276B1D" w:rsidRPr="00276B1D">
        <w:t>,</w:t>
      </w:r>
      <w:r w:rsidR="004D0A05" w:rsidRPr="00276B1D">
        <w:t xml:space="preserve"> </w:t>
      </w:r>
      <w:r w:rsidR="00276B1D" w:rsidRPr="00276B1D">
        <w:t>og som med fordel kan læses for at understøtte overensstemmelse med</w:t>
      </w:r>
      <w:r w:rsidR="004D0A05" w:rsidRPr="00276B1D">
        <w:t xml:space="preserve"> hvidbogens principper.</w:t>
      </w:r>
      <w:r w:rsidR="00D9465E" w:rsidRPr="00276B1D">
        <w:t xml:space="preserve"> </w:t>
      </w:r>
      <w:r w:rsidR="006E21E5" w:rsidRPr="00276B1D">
        <w:t>Review</w:t>
      </w:r>
      <w:r w:rsidR="00E80DA7" w:rsidRPr="00276B1D">
        <w:t>boardet</w:t>
      </w:r>
      <w:r w:rsidR="00E80DA7">
        <w:t xml:space="preserve"> og deltagere er listet i nedenstående tabel: </w:t>
      </w:r>
    </w:p>
    <w:p w14:paraId="7328A4EB"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58E3BD3D" w14:textId="77777777" w:rsidTr="0039423C">
        <w:tc>
          <w:tcPr>
            <w:tcW w:w="2137" w:type="dxa"/>
            <w:shd w:val="clear" w:color="auto" w:fill="DBE5F1"/>
          </w:tcPr>
          <w:p w14:paraId="794BB624" w14:textId="77777777" w:rsidR="00E52915" w:rsidRDefault="00E52915">
            <w:pPr>
              <w:ind w:left="100"/>
              <w:rPr>
                <w:b/>
                <w:color w:val="000000"/>
                <w:sz w:val="18"/>
                <w:szCs w:val="18"/>
              </w:rPr>
            </w:pPr>
            <w:r>
              <w:rPr>
                <w:b/>
                <w:sz w:val="18"/>
                <w:szCs w:val="18"/>
              </w:rPr>
              <w:t>Reviewboard:</w:t>
            </w:r>
          </w:p>
        </w:tc>
        <w:tc>
          <w:tcPr>
            <w:tcW w:w="3682" w:type="dxa"/>
            <w:shd w:val="clear" w:color="auto" w:fill="DBE5F1"/>
          </w:tcPr>
          <w:p w14:paraId="68977D22" w14:textId="77777777" w:rsidR="00E52915" w:rsidRDefault="0020576F" w:rsidP="00E52915">
            <w:pPr>
              <w:ind w:right="-45"/>
              <w:rPr>
                <w:sz w:val="18"/>
                <w:szCs w:val="18"/>
              </w:rPr>
            </w:pPr>
            <w:r>
              <w:rPr>
                <w:sz w:val="18"/>
                <w:szCs w:val="18"/>
              </w:rPr>
              <w:t>Johan Overbeck</w:t>
            </w:r>
            <w:r w:rsidR="00E52915">
              <w:rPr>
                <w:sz w:val="18"/>
                <w:szCs w:val="18"/>
              </w:rPr>
              <w:t xml:space="preserve">, </w:t>
            </w:r>
            <w:r w:rsidR="0039423C">
              <w:rPr>
                <w:sz w:val="18"/>
                <w:szCs w:val="18"/>
              </w:rPr>
              <w:t>Arkitekt</w:t>
            </w:r>
          </w:p>
        </w:tc>
        <w:tc>
          <w:tcPr>
            <w:tcW w:w="3332" w:type="dxa"/>
            <w:shd w:val="clear" w:color="auto" w:fill="DBE5F1"/>
          </w:tcPr>
          <w:p w14:paraId="16A87D83" w14:textId="77777777" w:rsidR="00E52915" w:rsidRDefault="0020576F" w:rsidP="00292B97">
            <w:pPr>
              <w:ind w:right="-45"/>
              <w:rPr>
                <w:sz w:val="18"/>
                <w:szCs w:val="18"/>
              </w:rPr>
            </w:pPr>
            <w:r>
              <w:rPr>
                <w:sz w:val="18"/>
                <w:szCs w:val="18"/>
              </w:rPr>
              <w:t>ATP</w:t>
            </w:r>
          </w:p>
        </w:tc>
      </w:tr>
      <w:tr w:rsidR="00E52915" w14:paraId="6D721084" w14:textId="77777777" w:rsidTr="0039423C">
        <w:tc>
          <w:tcPr>
            <w:tcW w:w="2137" w:type="dxa"/>
            <w:shd w:val="clear" w:color="auto" w:fill="DBE5F1"/>
          </w:tcPr>
          <w:p w14:paraId="33DFC5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2A9FC86D" w14:textId="77777777" w:rsidR="00E52915" w:rsidRDefault="00C47855" w:rsidP="0039423C">
            <w:pPr>
              <w:ind w:right="-45"/>
              <w:rPr>
                <w:color w:val="000000"/>
                <w:sz w:val="18"/>
                <w:szCs w:val="18"/>
              </w:rPr>
            </w:pPr>
            <w:r>
              <w:rPr>
                <w:sz w:val="18"/>
                <w:szCs w:val="18"/>
              </w:rPr>
              <w:t>Mads Hjorth</w:t>
            </w:r>
            <w:r w:rsidR="00E52915">
              <w:rPr>
                <w:sz w:val="18"/>
                <w:szCs w:val="18"/>
              </w:rPr>
              <w:t xml:space="preserve">, </w:t>
            </w:r>
            <w:r w:rsidR="0039423C">
              <w:rPr>
                <w:sz w:val="18"/>
                <w:szCs w:val="18"/>
              </w:rPr>
              <w:t>Arkitekt</w:t>
            </w:r>
          </w:p>
        </w:tc>
        <w:tc>
          <w:tcPr>
            <w:tcW w:w="3332" w:type="dxa"/>
            <w:shd w:val="clear" w:color="auto" w:fill="DBE5F1"/>
          </w:tcPr>
          <w:p w14:paraId="4ED8C7B3" w14:textId="77777777" w:rsidR="00E52915" w:rsidRDefault="0039423C">
            <w:pPr>
              <w:ind w:right="-45"/>
              <w:rPr>
                <w:sz w:val="18"/>
                <w:szCs w:val="18"/>
              </w:rPr>
            </w:pPr>
            <w:r>
              <w:rPr>
                <w:sz w:val="18"/>
                <w:szCs w:val="18"/>
              </w:rPr>
              <w:t>Digitaliseringsstyrelsen - CTD</w:t>
            </w:r>
          </w:p>
        </w:tc>
      </w:tr>
      <w:tr w:rsidR="00E52915" w14:paraId="02D52F3C" w14:textId="77777777" w:rsidTr="0039423C">
        <w:tc>
          <w:tcPr>
            <w:tcW w:w="2137" w:type="dxa"/>
            <w:shd w:val="clear" w:color="auto" w:fill="DBE5F1"/>
          </w:tcPr>
          <w:p w14:paraId="4BF086C6" w14:textId="77777777" w:rsidR="00E52915" w:rsidRDefault="00E52915">
            <w:pPr>
              <w:ind w:left="100"/>
              <w:rPr>
                <w:b/>
                <w:sz w:val="18"/>
                <w:szCs w:val="18"/>
              </w:rPr>
            </w:pPr>
          </w:p>
        </w:tc>
        <w:tc>
          <w:tcPr>
            <w:tcW w:w="3682" w:type="dxa"/>
            <w:shd w:val="clear" w:color="auto" w:fill="DBE5F1"/>
          </w:tcPr>
          <w:p w14:paraId="656F2648" w14:textId="77777777" w:rsidR="00E52915" w:rsidRDefault="00E52915" w:rsidP="0039423C">
            <w:pPr>
              <w:ind w:right="-45"/>
              <w:rPr>
                <w:sz w:val="18"/>
                <w:szCs w:val="18"/>
              </w:rPr>
            </w:pPr>
            <w:r>
              <w:rPr>
                <w:sz w:val="18"/>
                <w:szCs w:val="18"/>
              </w:rPr>
              <w:t>Asbjørn Flyger Lauwersen,</w:t>
            </w:r>
            <w:r w:rsidR="0039423C">
              <w:rPr>
                <w:sz w:val="18"/>
                <w:szCs w:val="18"/>
              </w:rPr>
              <w:t xml:space="preserve"> Facilitator</w:t>
            </w:r>
          </w:p>
        </w:tc>
        <w:tc>
          <w:tcPr>
            <w:tcW w:w="3332" w:type="dxa"/>
            <w:shd w:val="clear" w:color="auto" w:fill="DBE5F1"/>
          </w:tcPr>
          <w:p w14:paraId="741C7584" w14:textId="77777777" w:rsidR="00E52915" w:rsidRDefault="0039423C" w:rsidP="009C0C23">
            <w:pPr>
              <w:ind w:right="-45"/>
              <w:rPr>
                <w:sz w:val="18"/>
                <w:szCs w:val="18"/>
              </w:rPr>
            </w:pPr>
            <w:r>
              <w:rPr>
                <w:sz w:val="18"/>
                <w:szCs w:val="18"/>
              </w:rPr>
              <w:t>Digitaliseringsstyrelsen - CTD</w:t>
            </w:r>
          </w:p>
        </w:tc>
      </w:tr>
      <w:tr w:rsidR="00E52915" w14:paraId="4B3FD32E" w14:textId="77777777" w:rsidTr="0039423C">
        <w:tc>
          <w:tcPr>
            <w:tcW w:w="2137" w:type="dxa"/>
            <w:shd w:val="clear" w:color="auto" w:fill="DBE5F1"/>
          </w:tcPr>
          <w:p w14:paraId="4781C206" w14:textId="77777777" w:rsidR="00E52915" w:rsidRDefault="00E52915">
            <w:pPr>
              <w:ind w:left="100"/>
              <w:rPr>
                <w:b/>
                <w:sz w:val="18"/>
                <w:szCs w:val="18"/>
              </w:rPr>
            </w:pPr>
            <w:r>
              <w:rPr>
                <w:b/>
                <w:sz w:val="18"/>
                <w:szCs w:val="18"/>
              </w:rPr>
              <w:t>Projektdeltagere:</w:t>
            </w:r>
          </w:p>
        </w:tc>
        <w:tc>
          <w:tcPr>
            <w:tcW w:w="3682" w:type="dxa"/>
            <w:shd w:val="clear" w:color="auto" w:fill="DBE5F1"/>
          </w:tcPr>
          <w:p w14:paraId="57FD46FC" w14:textId="77777777" w:rsidR="00E52915" w:rsidRDefault="00C47855" w:rsidP="0039423C">
            <w:pPr>
              <w:ind w:right="-45"/>
              <w:rPr>
                <w:sz w:val="18"/>
                <w:szCs w:val="18"/>
              </w:rPr>
            </w:pPr>
            <w:r>
              <w:rPr>
                <w:sz w:val="18"/>
                <w:szCs w:val="18"/>
              </w:rPr>
              <w:t>Britt Johnsen</w:t>
            </w:r>
            <w:r w:rsidR="00E52915">
              <w:rPr>
                <w:sz w:val="18"/>
                <w:szCs w:val="18"/>
              </w:rPr>
              <w:t>,</w:t>
            </w:r>
            <w:r w:rsidR="0039423C">
              <w:rPr>
                <w:sz w:val="18"/>
                <w:szCs w:val="18"/>
              </w:rPr>
              <w:t xml:space="preserve"> Projektleder</w:t>
            </w:r>
            <w:r w:rsidR="00E52915">
              <w:rPr>
                <w:sz w:val="18"/>
                <w:szCs w:val="18"/>
              </w:rPr>
              <w:t xml:space="preserve"> </w:t>
            </w:r>
          </w:p>
        </w:tc>
        <w:tc>
          <w:tcPr>
            <w:tcW w:w="3332" w:type="dxa"/>
            <w:shd w:val="clear" w:color="auto" w:fill="DBE5F1"/>
          </w:tcPr>
          <w:p w14:paraId="2A99041F" w14:textId="77777777" w:rsidR="00E52915" w:rsidRDefault="0039423C" w:rsidP="00292B97">
            <w:pPr>
              <w:ind w:right="-45"/>
              <w:rPr>
                <w:sz w:val="18"/>
                <w:szCs w:val="18"/>
              </w:rPr>
            </w:pPr>
            <w:r>
              <w:rPr>
                <w:sz w:val="18"/>
                <w:szCs w:val="18"/>
              </w:rPr>
              <w:t>Digitaliseringsstyrelsen</w:t>
            </w:r>
          </w:p>
        </w:tc>
      </w:tr>
      <w:tr w:rsidR="00E52915" w14:paraId="22F2D9BD" w14:textId="77777777" w:rsidTr="0039423C">
        <w:tc>
          <w:tcPr>
            <w:tcW w:w="2137" w:type="dxa"/>
            <w:shd w:val="clear" w:color="auto" w:fill="DBE5F1"/>
          </w:tcPr>
          <w:p w14:paraId="6A957535" w14:textId="77777777" w:rsidR="00E52915" w:rsidRDefault="00E52915">
            <w:pPr>
              <w:ind w:left="100"/>
              <w:rPr>
                <w:b/>
                <w:color w:val="000000"/>
                <w:sz w:val="18"/>
                <w:szCs w:val="18"/>
              </w:rPr>
            </w:pPr>
          </w:p>
        </w:tc>
        <w:tc>
          <w:tcPr>
            <w:tcW w:w="3682" w:type="dxa"/>
            <w:shd w:val="clear" w:color="auto" w:fill="DBE5F1"/>
          </w:tcPr>
          <w:p w14:paraId="02BE68DF" w14:textId="77777777" w:rsidR="00E52915" w:rsidRDefault="00C47855" w:rsidP="002162D4">
            <w:pPr>
              <w:ind w:right="-45"/>
              <w:rPr>
                <w:sz w:val="18"/>
                <w:szCs w:val="18"/>
              </w:rPr>
            </w:pPr>
            <w:r>
              <w:rPr>
                <w:sz w:val="18"/>
                <w:szCs w:val="18"/>
              </w:rPr>
              <w:t>Lars Thomsen</w:t>
            </w:r>
            <w:r w:rsidR="00E52915">
              <w:rPr>
                <w:sz w:val="18"/>
                <w:szCs w:val="18"/>
              </w:rPr>
              <w:t xml:space="preserve">, </w:t>
            </w:r>
            <w:r w:rsidR="002162D4">
              <w:rPr>
                <w:sz w:val="18"/>
                <w:szCs w:val="18"/>
              </w:rPr>
              <w:t>Arkitekt</w:t>
            </w:r>
          </w:p>
        </w:tc>
        <w:tc>
          <w:tcPr>
            <w:tcW w:w="3332" w:type="dxa"/>
            <w:shd w:val="clear" w:color="auto" w:fill="DBE5F1"/>
          </w:tcPr>
          <w:p w14:paraId="5DC9D4BA" w14:textId="77777777" w:rsidR="00E52915" w:rsidRDefault="00C47855" w:rsidP="009C0C23">
            <w:pPr>
              <w:ind w:right="-45"/>
              <w:rPr>
                <w:sz w:val="18"/>
                <w:szCs w:val="18"/>
              </w:rPr>
            </w:pPr>
            <w:r>
              <w:rPr>
                <w:sz w:val="18"/>
                <w:szCs w:val="18"/>
              </w:rPr>
              <w:t>Digitaliseringsstyrelsen</w:t>
            </w:r>
          </w:p>
        </w:tc>
      </w:tr>
      <w:tr w:rsidR="007F7E57" w14:paraId="4A586026" w14:textId="77777777" w:rsidTr="0039423C">
        <w:tc>
          <w:tcPr>
            <w:tcW w:w="2137" w:type="dxa"/>
            <w:shd w:val="clear" w:color="auto" w:fill="DBE5F1"/>
          </w:tcPr>
          <w:p w14:paraId="5997DCEF" w14:textId="77777777" w:rsidR="007F7E57" w:rsidRDefault="007F7E57">
            <w:pPr>
              <w:ind w:left="100"/>
              <w:rPr>
                <w:b/>
                <w:color w:val="000000"/>
                <w:sz w:val="18"/>
                <w:szCs w:val="18"/>
              </w:rPr>
            </w:pPr>
          </w:p>
        </w:tc>
        <w:tc>
          <w:tcPr>
            <w:tcW w:w="3682" w:type="dxa"/>
            <w:shd w:val="clear" w:color="auto" w:fill="DBE5F1"/>
          </w:tcPr>
          <w:p w14:paraId="32039C49" w14:textId="77777777" w:rsidR="007F7E57" w:rsidRDefault="00C47855" w:rsidP="00C47855">
            <w:pPr>
              <w:ind w:right="-45"/>
              <w:rPr>
                <w:sz w:val="18"/>
                <w:szCs w:val="18"/>
              </w:rPr>
            </w:pPr>
            <w:r>
              <w:rPr>
                <w:sz w:val="18"/>
                <w:szCs w:val="18"/>
              </w:rPr>
              <w:t>Thomas Watts</w:t>
            </w:r>
            <w:r w:rsidR="007F7E57">
              <w:rPr>
                <w:sz w:val="18"/>
                <w:szCs w:val="18"/>
              </w:rPr>
              <w:t xml:space="preserve">, </w:t>
            </w:r>
            <w:r>
              <w:rPr>
                <w:sz w:val="18"/>
                <w:szCs w:val="18"/>
              </w:rPr>
              <w:t>Arkitekt</w:t>
            </w:r>
          </w:p>
        </w:tc>
        <w:tc>
          <w:tcPr>
            <w:tcW w:w="3332" w:type="dxa"/>
            <w:shd w:val="clear" w:color="auto" w:fill="DBE5F1"/>
          </w:tcPr>
          <w:p w14:paraId="4F8F5FBB" w14:textId="77777777" w:rsidR="007F7E57" w:rsidRDefault="00C47855" w:rsidP="009C0C23">
            <w:pPr>
              <w:ind w:right="-45"/>
              <w:rPr>
                <w:sz w:val="18"/>
                <w:szCs w:val="18"/>
              </w:rPr>
            </w:pPr>
            <w:r>
              <w:rPr>
                <w:sz w:val="18"/>
                <w:szCs w:val="18"/>
              </w:rPr>
              <w:t>Digitaliseringsstyrelsen</w:t>
            </w:r>
          </w:p>
        </w:tc>
      </w:tr>
      <w:tr w:rsidR="00E52915" w14:paraId="45FD2A82" w14:textId="77777777" w:rsidTr="0039423C">
        <w:tc>
          <w:tcPr>
            <w:tcW w:w="2137" w:type="dxa"/>
            <w:shd w:val="clear" w:color="auto" w:fill="DBE5F1"/>
          </w:tcPr>
          <w:p w14:paraId="3B6D7C21" w14:textId="77777777" w:rsidR="00E52915" w:rsidRDefault="00E52915">
            <w:pPr>
              <w:ind w:left="100"/>
              <w:rPr>
                <w:b/>
                <w:color w:val="000000"/>
                <w:sz w:val="18"/>
                <w:szCs w:val="18"/>
              </w:rPr>
            </w:pPr>
          </w:p>
        </w:tc>
        <w:tc>
          <w:tcPr>
            <w:tcW w:w="3682" w:type="dxa"/>
            <w:shd w:val="clear" w:color="auto" w:fill="DBE5F1"/>
          </w:tcPr>
          <w:p w14:paraId="723FCE29" w14:textId="77777777" w:rsidR="00E52915" w:rsidRDefault="0020576F" w:rsidP="0020576F">
            <w:pPr>
              <w:ind w:right="-45"/>
              <w:rPr>
                <w:sz w:val="18"/>
                <w:szCs w:val="18"/>
              </w:rPr>
            </w:pPr>
            <w:r>
              <w:rPr>
                <w:sz w:val="18"/>
                <w:szCs w:val="18"/>
              </w:rPr>
              <w:t>Thomas</w:t>
            </w:r>
            <w:r w:rsidR="00E52915">
              <w:rPr>
                <w:sz w:val="18"/>
                <w:szCs w:val="18"/>
              </w:rPr>
              <w:t xml:space="preserve"> </w:t>
            </w:r>
            <w:r>
              <w:rPr>
                <w:sz w:val="18"/>
                <w:szCs w:val="18"/>
              </w:rPr>
              <w:t>Brasholt</w:t>
            </w:r>
            <w:r w:rsidR="00E52915">
              <w:rPr>
                <w:sz w:val="18"/>
                <w:szCs w:val="18"/>
              </w:rPr>
              <w:t>, Arkitekt</w:t>
            </w:r>
          </w:p>
        </w:tc>
        <w:tc>
          <w:tcPr>
            <w:tcW w:w="3332" w:type="dxa"/>
            <w:shd w:val="clear" w:color="auto" w:fill="DBE5F1"/>
          </w:tcPr>
          <w:p w14:paraId="14D4E260" w14:textId="77777777" w:rsidR="00E52915" w:rsidRDefault="0020576F" w:rsidP="003F7DBB">
            <w:pPr>
              <w:ind w:right="-45"/>
              <w:rPr>
                <w:sz w:val="18"/>
                <w:szCs w:val="18"/>
              </w:rPr>
            </w:pPr>
            <w:r>
              <w:rPr>
                <w:sz w:val="18"/>
                <w:szCs w:val="18"/>
              </w:rPr>
              <w:t>Digitaliseringsstyrelsen</w:t>
            </w:r>
          </w:p>
        </w:tc>
      </w:tr>
    </w:tbl>
    <w:p w14:paraId="1C548875" w14:textId="77777777" w:rsidR="00903335" w:rsidRPr="009C509D" w:rsidRDefault="00E80DA7" w:rsidP="00903335">
      <w:pPr>
        <w:pStyle w:val="Overskrift1"/>
        <w:keepNext w:val="0"/>
        <w:keepLines w:val="0"/>
        <w:spacing w:after="80"/>
      </w:pPr>
      <w:bookmarkStart w:id="8" w:name="_Toc29215458"/>
      <w:r>
        <w:t>Projektresume</w:t>
      </w:r>
      <w:bookmarkEnd w:id="8"/>
    </w:p>
    <w:p w14:paraId="7203B210" w14:textId="77777777" w:rsidR="00214D54" w:rsidRDefault="00214D54" w:rsidP="00F62187">
      <w:pPr>
        <w:pStyle w:val="Brdtekst"/>
        <w:spacing w:line="276" w:lineRule="auto"/>
        <w:rPr>
          <w:rFonts w:asciiTheme="majorHAnsi" w:hAnsiTheme="majorHAnsi" w:cstheme="majorHAnsi"/>
        </w:rPr>
      </w:pPr>
      <w:bookmarkStart w:id="9" w:name="_lc8qpab8doa6" w:colFirst="0" w:colLast="0"/>
      <w:bookmarkEnd w:id="9"/>
      <w:r w:rsidRPr="00214D54">
        <w:rPr>
          <w:rFonts w:asciiTheme="majorHAnsi" w:hAnsiTheme="majorHAnsi" w:cstheme="majorHAnsi"/>
        </w:rPr>
        <w:t>Ny NemKonto er</w:t>
      </w:r>
      <w:r w:rsidR="000D14D6">
        <w:rPr>
          <w:rFonts w:asciiTheme="majorHAnsi" w:hAnsiTheme="majorHAnsi" w:cstheme="majorHAnsi"/>
        </w:rPr>
        <w:t xml:space="preserve"> </w:t>
      </w:r>
      <w:r w:rsidR="000D14D6" w:rsidRPr="000D14D6">
        <w:rPr>
          <w:rFonts w:asciiTheme="majorHAnsi" w:hAnsiTheme="majorHAnsi" w:cstheme="majorHAnsi"/>
        </w:rPr>
        <w:t xml:space="preserve">et infrastrukturprojekt, der skal sikre, at borgere og virksomheder fortsat kan være trygge ved, at </w:t>
      </w:r>
      <w:r w:rsidR="00110AEB">
        <w:rPr>
          <w:rFonts w:asciiTheme="majorHAnsi" w:hAnsiTheme="majorHAnsi" w:cstheme="majorHAnsi"/>
        </w:rPr>
        <w:t>NemKonto-</w:t>
      </w:r>
      <w:r w:rsidR="000D14D6" w:rsidRPr="000D14D6">
        <w:rPr>
          <w:rFonts w:asciiTheme="majorHAnsi" w:hAnsiTheme="majorHAnsi" w:cstheme="majorHAnsi"/>
        </w:rPr>
        <w:t>løsningen er tidssvarende og fungerer, som den skal. I kombination med øget offentligt ejerskab til løsningen, vil projektet medføre, at det fremover bliver lettere at videreudvikle og tilpasse systemet og dermed sikre tidssvarende løsninger, der lever op til borgeres, virksomheders og myndigheders behov. Løsningen vil desuden lettere kunne indgå i selvbetjeningsløsningers brugerrejser og medvirke til at reducere antallet af henvendelser grundet usikkerhed omkring udbetalinger.</w:t>
      </w:r>
    </w:p>
    <w:p w14:paraId="12D30D8C" w14:textId="77777777" w:rsidR="00110AEB" w:rsidRPr="00214D54" w:rsidRDefault="00110AEB" w:rsidP="00F62187">
      <w:pPr>
        <w:pStyle w:val="Brdtekst"/>
        <w:spacing w:line="276" w:lineRule="auto"/>
        <w:rPr>
          <w:rFonts w:asciiTheme="majorHAnsi" w:hAnsiTheme="majorHAnsi" w:cstheme="majorHAnsi"/>
        </w:rPr>
      </w:pPr>
      <w:r w:rsidRPr="00110AEB">
        <w:rPr>
          <w:rFonts w:asciiTheme="majorHAnsi" w:hAnsiTheme="majorHAnsi" w:cstheme="majorHAnsi"/>
        </w:rPr>
        <w:t>For at opnå dette formål vil projektet konkurrenceudsætte, udvikle og idriftsætte en moderniseret, modulopbygget og fremtidssikret NemKonto-løsning. I tillæg hertil skal der ske en forenkling af det nuværende lovkompleks om NemKonto, da den teknologiske udvikling hurtigt ændrer sig.</w:t>
      </w:r>
    </w:p>
    <w:p w14:paraId="45BB5F8B" w14:textId="3CBFB93B" w:rsidR="00110AEB" w:rsidRDefault="00110AEB" w:rsidP="00110AEB">
      <w:pPr>
        <w:spacing w:before="240" w:after="240"/>
      </w:pPr>
      <w:r>
        <w:t xml:space="preserve">Projektet vil udbyde og etablere løsningen som en række separate, komponenter, der hver især understøtter en del af forretningsfunktionaliteten. Sammenhænge, både internt i systemet og mod eksterne systemer, skabes gennem standardiserede, åbne snitflader. Herved muliggøres løbende test og idriftsættelse af løsningen. </w:t>
      </w:r>
    </w:p>
    <w:p w14:paraId="404D2D5D" w14:textId="77777777" w:rsidR="00110AEB" w:rsidRDefault="00110AEB" w:rsidP="00110AEB">
      <w:pPr>
        <w:spacing w:before="240" w:after="240"/>
      </w:pPr>
      <w:r>
        <w:t>Projektet vil først etablere en driftsplatform, som løsningen skal driftes på, samt register- og betalingsformidlingsfunktionaliteten. Afklaringer på dele af forretningsfunktionalitet i relation til Gældsmodregning og Ventekonto kan derfor ske samtidig med en tidlig konkurrenceudsættelse af de mest centrale dele af løsningen</w:t>
      </w:r>
      <w:r w:rsidR="00230FED">
        <w:t>.</w:t>
      </w:r>
    </w:p>
    <w:p w14:paraId="6BD228C4" w14:textId="2231E407" w:rsidR="00214D54" w:rsidRPr="00230FED" w:rsidRDefault="00110AEB" w:rsidP="00230FED">
      <w:pPr>
        <w:spacing w:before="240" w:after="240"/>
      </w:pPr>
      <w:r>
        <w:lastRenderedPageBreak/>
        <w:t xml:space="preserve">Den </w:t>
      </w:r>
      <w:r w:rsidR="00FB6E8F">
        <w:t>komponent</w:t>
      </w:r>
      <w:r>
        <w:t>baserede tilgang med åbne snitflader muliggør desuden, at brugen af data i NemKonto-registret ikke låses til en bestemt forretningsfunktionalitets nuværende implementering. Det vil således i fremtiden være muligt grundlæggende at ændre de services og tilknyttede applikationer, der bruger og agerer på NemKonto-data, uden at dette dermed ændrer væsentligt ved kernefunktionaliteten.</w:t>
      </w:r>
    </w:p>
    <w:p w14:paraId="7872DB30" w14:textId="77777777" w:rsidR="007B6E2E" w:rsidRPr="00F81E36" w:rsidRDefault="00E80DA7">
      <w:pPr>
        <w:pStyle w:val="Overskrift1"/>
      </w:pPr>
      <w:bookmarkStart w:id="10" w:name="_Toc29215459"/>
      <w:r w:rsidRPr="00214D54">
        <w:t>Anbefalinger</w:t>
      </w:r>
      <w:bookmarkEnd w:id="10"/>
    </w:p>
    <w:p w14:paraId="694FC788" w14:textId="0F0730A7" w:rsidR="007B6E2E" w:rsidRDefault="00E80DA7">
      <w:r w:rsidRPr="00F81E36">
        <w:t xml:space="preserve">Reviewet af </w:t>
      </w:r>
      <w:r w:rsidR="003C758A">
        <w:rPr>
          <w:i/>
        </w:rPr>
        <w:t>Ny NemKonto</w:t>
      </w:r>
      <w:r w:rsidRPr="00F81E36">
        <w:t xml:space="preserve"> har identificeret en række anbefalinger, der fremstår i to kategorier:</w:t>
      </w:r>
    </w:p>
    <w:p w14:paraId="34A6996E"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7658CF73"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481B5B59" w14:textId="77777777" w:rsidR="00E23154" w:rsidRDefault="00E80DA7">
      <w:r>
        <w:br/>
        <w:t xml:space="preserve">For så vidt angår anbefalinger </w:t>
      </w:r>
      <w:r w:rsidR="00884D5E">
        <w:t>til de nuværende projekt</w:t>
      </w:r>
      <w:r w:rsidR="00E32E6F">
        <w:t>er</w:t>
      </w:r>
      <w:r>
        <w:t xml:space="preserve"> anmodes projekte</w:t>
      </w:r>
      <w:r w:rsidR="00E32E6F">
        <w:t>rne</w:t>
      </w:r>
      <w:r>
        <w:t xml:space="preserve"> om at </w:t>
      </w:r>
      <w:r w:rsidR="00EE1CD1">
        <w:t>imødekomme</w:t>
      </w:r>
      <w:r>
        <w:t xml:space="preserve"> disse ud fra følg-eller-forklar princippet </w:t>
      </w:r>
      <w:r w:rsidR="006E21E5">
        <w:t>i deres bemærkninger til review</w:t>
      </w:r>
      <w:r>
        <w:t xml:space="preserve">rapporten samlet i en handlingsplan. </w:t>
      </w:r>
    </w:p>
    <w:p w14:paraId="5C8C46D0" w14:textId="77777777" w:rsidR="007B6E2E" w:rsidRDefault="00E80DA7">
      <w:r>
        <w:t>For</w:t>
      </w:r>
      <w:r w:rsidR="009C0C23">
        <w:t xml:space="preserve"> tværgående</w:t>
      </w:r>
      <w:r>
        <w:t xml:space="preserve"> anbefalinger, udarbejder sekretariatet for initiativ 8.1 beslutningsoplæg</w:t>
      </w:r>
      <w:r w:rsidR="00E23154">
        <w:t>, som ligeledes</w:t>
      </w:r>
      <w:r>
        <w:t xml:space="preserve"> indgår ligeledes i styregruppen for data og arkitekturs behandling af reviewet.</w:t>
      </w:r>
    </w:p>
    <w:p w14:paraId="0C857F78" w14:textId="77777777" w:rsidR="007B6E2E" w:rsidRDefault="00E80DA7">
      <w:pPr>
        <w:pStyle w:val="Overskrift2"/>
      </w:pPr>
      <w:bookmarkStart w:id="11" w:name="_4d34og8" w:colFirst="0" w:colLast="0"/>
      <w:bookmarkStart w:id="12" w:name="_Toc29215460"/>
      <w:bookmarkEnd w:id="11"/>
      <w:r>
        <w:t>Anbefalinger til de nuværende projekt</w:t>
      </w:r>
      <w:r w:rsidR="00E32E6F">
        <w:t>er</w:t>
      </w:r>
      <w:bookmarkEnd w:id="12"/>
    </w:p>
    <w:p w14:paraId="7877D344" w14:textId="21E23ED3" w:rsidR="00155B6B" w:rsidRDefault="00E80DA7">
      <w:pPr>
        <w:rPr>
          <w:b/>
        </w:rPr>
      </w:pPr>
      <w:r>
        <w:rPr>
          <w:b/>
        </w:rPr>
        <w:br/>
        <w:t xml:space="preserve">1. </w:t>
      </w:r>
      <w:r w:rsidR="00422C6B">
        <w:rPr>
          <w:b/>
        </w:rPr>
        <w:t>Det anbe</w:t>
      </w:r>
      <w:r w:rsidR="00155B6B">
        <w:rPr>
          <w:b/>
        </w:rPr>
        <w:t xml:space="preserve">fales, at </w:t>
      </w:r>
      <w:r w:rsidR="00FF6795">
        <w:rPr>
          <w:b/>
        </w:rPr>
        <w:t>projekt</w:t>
      </w:r>
      <w:r w:rsidR="00D32E2D">
        <w:rPr>
          <w:b/>
        </w:rPr>
        <w:t>et tydeliggør roller og beslutningskompetencer ved navn, i forhold til projektets dokumentation, produkter og leverandørens leverancer.</w:t>
      </w:r>
    </w:p>
    <w:p w14:paraId="27F0CC25" w14:textId="77777777" w:rsidR="008C7FA9" w:rsidRPr="00127EFF" w:rsidRDefault="00B25FEA">
      <w:pPr>
        <w:rPr>
          <w:i/>
        </w:rPr>
      </w:pPr>
      <w:r w:rsidRPr="00127EFF">
        <w:t>Anbefalingen er motiveret af arkitekturreglerne</w:t>
      </w:r>
      <w:r w:rsidRPr="00127EFF">
        <w:rPr>
          <w:i/>
        </w:rPr>
        <w:t xml:space="preserve"> </w:t>
      </w:r>
      <w:r w:rsidR="00127EFF" w:rsidRPr="00127EFF">
        <w:rPr>
          <w:i/>
        </w:rPr>
        <w:t>AR 1.1</w:t>
      </w:r>
      <w:r w:rsidRPr="00127EFF">
        <w:rPr>
          <w:i/>
        </w:rPr>
        <w:t xml:space="preserve"> </w:t>
      </w:r>
      <w:r w:rsidR="00817882" w:rsidRPr="00127EFF">
        <w:rPr>
          <w:i/>
        </w:rPr>
        <w:t>–</w:t>
      </w:r>
      <w:r w:rsidR="008C7FA9" w:rsidRPr="00127EFF">
        <w:rPr>
          <w:i/>
        </w:rPr>
        <w:t xml:space="preserve"> </w:t>
      </w:r>
      <w:r w:rsidR="00127EFF" w:rsidRPr="00127EFF">
        <w:rPr>
          <w:i/>
        </w:rPr>
        <w:t>Styr arkitekturen på rette niveauer og sammenhængende</w:t>
      </w:r>
      <w:r w:rsidRPr="00127EFF">
        <w:t xml:space="preserve"> og</w:t>
      </w:r>
      <w:r w:rsidR="005F4E5D" w:rsidRPr="00127EFF">
        <w:t xml:space="preserve"> </w:t>
      </w:r>
      <w:r w:rsidR="00127EFF" w:rsidRPr="00127EFF">
        <w:rPr>
          <w:i/>
        </w:rPr>
        <w:t>AR 1.5</w:t>
      </w:r>
      <w:r w:rsidRPr="00127EFF">
        <w:rPr>
          <w:i/>
        </w:rPr>
        <w:t xml:space="preserve"> </w:t>
      </w:r>
      <w:r w:rsidR="00127EFF" w:rsidRPr="00127EFF">
        <w:rPr>
          <w:i/>
        </w:rPr>
        <w:t>–</w:t>
      </w:r>
      <w:r w:rsidR="005F4E5D" w:rsidRPr="00127EFF">
        <w:rPr>
          <w:i/>
        </w:rPr>
        <w:t xml:space="preserve"> </w:t>
      </w:r>
      <w:r w:rsidR="00127EFF" w:rsidRPr="00127EFF">
        <w:rPr>
          <w:i/>
        </w:rPr>
        <w:t>Hav tilstrækkeligt med kompetencer til arkitekturarbejdet</w:t>
      </w:r>
      <w:r w:rsidRPr="00127EFF">
        <w:rPr>
          <w:i/>
        </w:rPr>
        <w:t>.</w:t>
      </w:r>
    </w:p>
    <w:p w14:paraId="5BD46568" w14:textId="77777777" w:rsidR="00CF736F" w:rsidRPr="00CF736F" w:rsidRDefault="00CF736F" w:rsidP="00642505">
      <w:r>
        <w:t>For at sikre tydelig styring og god koordinering i projektet vu</w:t>
      </w:r>
      <w:r w:rsidR="00B57E8E">
        <w:t>rdere</w:t>
      </w:r>
      <w:r w:rsidR="00C102ED">
        <w:t>r</w:t>
      </w:r>
      <w:r w:rsidR="00B57E8E">
        <w:t xml:space="preserve"> reviewboardet at det vil være</w:t>
      </w:r>
      <w:r>
        <w:t xml:space="preserve"> </w:t>
      </w:r>
      <w:r w:rsidR="00B57E8E">
        <w:t>gavnligt</w:t>
      </w:r>
      <w:r>
        <w:t xml:space="preserve"> for projektet at beskrive hvilke fora og personer der har beslutningskompetencer og ansvar for forskellige dele af projektet. </w:t>
      </w:r>
      <w:r w:rsidR="00B57E8E">
        <w:t>Herunder hvem der koo</w:t>
      </w:r>
      <w:r w:rsidR="00C102ED">
        <w:t>r</w:t>
      </w:r>
      <w:r w:rsidR="00B57E8E">
        <w:t>dinere</w:t>
      </w:r>
      <w:r w:rsidR="00C102ED">
        <w:t>r</w:t>
      </w:r>
      <w:r w:rsidR="00B57E8E">
        <w:t xml:space="preserve"> og udfører dokumentationen, projektets beslutningsoplæg og hvem der har ansvar for at sikre leverancer fra en kommende leverandør.</w:t>
      </w:r>
    </w:p>
    <w:p w14:paraId="7E4328EF" w14:textId="77777777" w:rsidR="008C7FA9" w:rsidRDefault="008C7FA9" w:rsidP="008C7FA9">
      <w:pPr>
        <w:rPr>
          <w:b/>
        </w:rPr>
      </w:pPr>
      <w:r>
        <w:rPr>
          <w:b/>
        </w:rPr>
        <w:t xml:space="preserve">2. </w:t>
      </w:r>
      <w:r w:rsidRPr="00E52915">
        <w:rPr>
          <w:b/>
        </w:rPr>
        <w:t>Det anbefales, at</w:t>
      </w:r>
      <w:r>
        <w:rPr>
          <w:b/>
        </w:rPr>
        <w:t xml:space="preserve"> </w:t>
      </w:r>
      <w:r w:rsidR="00FF6795">
        <w:rPr>
          <w:b/>
        </w:rPr>
        <w:t>projekte</w:t>
      </w:r>
      <w:r w:rsidR="00D32E2D">
        <w:rPr>
          <w:b/>
        </w:rPr>
        <w:t>t etablere</w:t>
      </w:r>
      <w:r w:rsidR="00426F3D">
        <w:rPr>
          <w:b/>
        </w:rPr>
        <w:t>r</w:t>
      </w:r>
      <w:r w:rsidR="00D32E2D">
        <w:rPr>
          <w:b/>
        </w:rPr>
        <w:t xml:space="preserve"> en simpel og konkret fortælling og tegning, der beskriver de vigtigste motivationer, funktioner, komponenter og interessenter der optræder i den endelige løsning</w:t>
      </w:r>
      <w:r w:rsidR="00C102ED">
        <w:rPr>
          <w:b/>
        </w:rPr>
        <w:t xml:space="preserve"> og deres relationer</w:t>
      </w:r>
      <w:r w:rsidRPr="00E52915">
        <w:rPr>
          <w:b/>
        </w:rPr>
        <w:t>.</w:t>
      </w:r>
      <w:r>
        <w:rPr>
          <w:b/>
        </w:rPr>
        <w:t xml:space="preserve"> </w:t>
      </w:r>
    </w:p>
    <w:p w14:paraId="71865713" w14:textId="77777777" w:rsidR="00127EFF" w:rsidRDefault="00127EFF" w:rsidP="00687793">
      <w:pPr>
        <w:rPr>
          <w:i/>
        </w:rPr>
      </w:pPr>
      <w:r w:rsidRPr="00127EFF">
        <w:t>Anbefalingen er motiveret af arkitekturreglerne</w:t>
      </w:r>
      <w:r w:rsidRPr="00127EFF">
        <w:rPr>
          <w:i/>
        </w:rPr>
        <w:t xml:space="preserve"> AR 1.1 – Styr arkitekturen på rette niveauer og sammenhængende</w:t>
      </w:r>
      <w:r w:rsidRPr="00127EFF">
        <w:t xml:space="preserve"> og </w:t>
      </w:r>
      <w:r w:rsidRPr="00127EFF">
        <w:rPr>
          <w:i/>
        </w:rPr>
        <w:t xml:space="preserve">AR </w:t>
      </w:r>
      <w:r>
        <w:rPr>
          <w:i/>
        </w:rPr>
        <w:t>2.4</w:t>
      </w:r>
      <w:r w:rsidRPr="00127EFF">
        <w:rPr>
          <w:i/>
        </w:rPr>
        <w:t xml:space="preserve"> – </w:t>
      </w:r>
      <w:r>
        <w:rPr>
          <w:i/>
        </w:rPr>
        <w:t>Byg med udgangspunkt i brugeren og forberedt til forandring</w:t>
      </w:r>
      <w:r w:rsidRPr="00127EFF">
        <w:rPr>
          <w:i/>
        </w:rPr>
        <w:t>.</w:t>
      </w:r>
    </w:p>
    <w:p w14:paraId="49C776A7" w14:textId="77777777" w:rsidR="00B57E8E" w:rsidRPr="002B75A7" w:rsidRDefault="002B75A7" w:rsidP="00687793">
      <w:r w:rsidRPr="002B75A7">
        <w:t xml:space="preserve">Reviewboardet vurderer, at </w:t>
      </w:r>
      <w:r>
        <w:t>det vil være hensigtsmæssigt for projektet at have en illustration, der dokumentere hvordan sammenhængen mellem interessenters motivation, funktioner i Ny NemKonto og Ny NemKontos komponenter. Ved at kunne overskue hvordan Ny NemKonto besvarer interessenternes motivation og ønsker</w:t>
      </w:r>
      <w:r w:rsidR="00C102ED">
        <w:t>,</w:t>
      </w:r>
      <w:r>
        <w:t xml:space="preserve"> bliver det nemmere at træffe beslutninger om scope og </w:t>
      </w:r>
      <w:r>
        <w:lastRenderedPageBreak/>
        <w:t>vurdere de enkelte funktioner og komponenters vigtighed for det samlede projekt.</w:t>
      </w:r>
      <w:r w:rsidR="00C102ED">
        <w:t xml:space="preserve"> Dette kan yderligere tydeliggøre eventuelle afhængigheder, der kan være relevante for planlægningen.</w:t>
      </w:r>
    </w:p>
    <w:p w14:paraId="041FBD2A" w14:textId="77777777" w:rsidR="00611391" w:rsidRPr="00BD3206" w:rsidRDefault="008C7FA9" w:rsidP="00546FB1">
      <w:pPr>
        <w:rPr>
          <w:b/>
        </w:rPr>
      </w:pPr>
      <w:r>
        <w:rPr>
          <w:b/>
        </w:rPr>
        <w:t>3</w:t>
      </w:r>
      <w:r w:rsidR="00546FB1">
        <w:rPr>
          <w:b/>
        </w:rPr>
        <w:t xml:space="preserve">. Det anbefales, </w:t>
      </w:r>
      <w:r w:rsidR="00D32E2D">
        <w:rPr>
          <w:b/>
        </w:rPr>
        <w:t>at projektet ikke begrænser muligheden for at dele data med private og offentlige aktører i udbudsstrategien og sikre ejerskab over data.</w:t>
      </w:r>
    </w:p>
    <w:p w14:paraId="50A8953A" w14:textId="77777777" w:rsidR="00127EFF" w:rsidRDefault="00127EFF" w:rsidP="00127EFF">
      <w:pPr>
        <w:rPr>
          <w:i/>
        </w:rPr>
      </w:pPr>
      <w:r w:rsidRPr="00127EFF">
        <w:t>Anbefalingen er motiveret af arkitekturreglerne</w:t>
      </w:r>
      <w:r w:rsidRPr="00127EFF">
        <w:rPr>
          <w:i/>
        </w:rPr>
        <w:t xml:space="preserve"> </w:t>
      </w:r>
      <w:r w:rsidR="00855A1F" w:rsidRPr="00127EFF">
        <w:rPr>
          <w:i/>
        </w:rPr>
        <w:t xml:space="preserve">AR </w:t>
      </w:r>
      <w:r w:rsidR="00855A1F">
        <w:rPr>
          <w:i/>
        </w:rPr>
        <w:t>2.4</w:t>
      </w:r>
      <w:r w:rsidR="00855A1F" w:rsidRPr="00127EFF">
        <w:rPr>
          <w:i/>
        </w:rPr>
        <w:t xml:space="preserve"> – </w:t>
      </w:r>
      <w:r w:rsidR="00855A1F">
        <w:rPr>
          <w:i/>
        </w:rPr>
        <w:t>Byg med udgangspunkt i brugeren og forberedt til forandring</w:t>
      </w:r>
      <w:r w:rsidRPr="00127EFF">
        <w:t xml:space="preserve"> og</w:t>
      </w:r>
      <w:r w:rsidR="00855A1F">
        <w:t xml:space="preserve"> </w:t>
      </w:r>
      <w:r w:rsidR="00855A1F" w:rsidRPr="00855A1F">
        <w:rPr>
          <w:i/>
        </w:rPr>
        <w:t>AR 2.5 Stil data og løsninger til rådighed for private</w:t>
      </w:r>
      <w:r w:rsidRPr="00127EFF">
        <w:rPr>
          <w:i/>
        </w:rPr>
        <w:t>.</w:t>
      </w:r>
    </w:p>
    <w:p w14:paraId="6E71A8E9" w14:textId="77777777" w:rsidR="00687793" w:rsidRPr="00687793" w:rsidRDefault="00687793" w:rsidP="00305752">
      <w:r w:rsidRPr="00C575DB">
        <w:t xml:space="preserve">Reviewboardet vurderer, at </w:t>
      </w:r>
      <w:r w:rsidR="00C0260A">
        <w:t>der kan være værdifulde data</w:t>
      </w:r>
      <w:r w:rsidR="007E1D1E">
        <w:t xml:space="preserve"> i</w:t>
      </w:r>
      <w:r w:rsidR="00C0260A">
        <w:t xml:space="preserve"> Ny NemKonto-systemet, som har potentiale til at blive udstillet til det private marked, ell</w:t>
      </w:r>
      <w:r w:rsidR="00C102ED">
        <w:t>er</w:t>
      </w:r>
      <w:r w:rsidR="007E1D1E">
        <w:t xml:space="preserve"> til</w:t>
      </w:r>
      <w:r w:rsidR="00C102ED">
        <w:t xml:space="preserve"> andre offentlige aktører end</w:t>
      </w:r>
      <w:r w:rsidR="00C0260A">
        <w:t xml:space="preserve"> dem der oprindeligt er en del af projektet. For at kunne indfri dette potentiale vurdere</w:t>
      </w:r>
      <w:r w:rsidR="007E1D1E">
        <w:t>r</w:t>
      </w:r>
      <w:r w:rsidR="00C0260A">
        <w:t xml:space="preserve"> reviewboardet at det er vigtigt at sikre ejerskab over data, og holde muligheden for at udstille data fra systemet for øje i analysefasen og som en del af udbuds</w:t>
      </w:r>
      <w:r w:rsidR="00994EF9">
        <w:t>s</w:t>
      </w:r>
      <w:r w:rsidR="00C0260A">
        <w:t>trategien.</w:t>
      </w:r>
    </w:p>
    <w:p w14:paraId="1969E07E" w14:textId="77777777" w:rsidR="00B25FEA" w:rsidRPr="00B25FEA" w:rsidRDefault="008C7FA9" w:rsidP="00305752">
      <w:pPr>
        <w:rPr>
          <w:b/>
        </w:rPr>
      </w:pPr>
      <w:r>
        <w:rPr>
          <w:b/>
        </w:rPr>
        <w:t>4</w:t>
      </w:r>
      <w:r w:rsidR="00305752">
        <w:rPr>
          <w:b/>
        </w:rPr>
        <w:t xml:space="preserve">. </w:t>
      </w:r>
      <w:r w:rsidR="00305752" w:rsidRPr="00EA3C6F">
        <w:rPr>
          <w:b/>
        </w:rPr>
        <w:t>Det anbefales, at</w:t>
      </w:r>
      <w:r w:rsidR="00D32E2D">
        <w:rPr>
          <w:b/>
        </w:rPr>
        <w:t xml:space="preserve"> projektet henviser til den relevante lovgivning i det omfang det er rammesættende for projektet</w:t>
      </w:r>
      <w:r w:rsidR="00413A0E">
        <w:rPr>
          <w:b/>
        </w:rPr>
        <w:t>.</w:t>
      </w:r>
      <w:r w:rsidR="00D32E2D">
        <w:rPr>
          <w:b/>
        </w:rPr>
        <w:t xml:space="preserve"> Herunder både motiverende og begrænsende lovgivning.</w:t>
      </w:r>
      <w:r w:rsidR="00413A0E">
        <w:rPr>
          <w:b/>
        </w:rPr>
        <w:t xml:space="preserve"> </w:t>
      </w:r>
      <w:r w:rsidR="00305752" w:rsidRPr="00EA3C6F">
        <w:rPr>
          <w:b/>
        </w:rPr>
        <w:t xml:space="preserve"> </w:t>
      </w:r>
    </w:p>
    <w:p w14:paraId="0DD60058" w14:textId="77777777" w:rsidR="00BD3206" w:rsidRPr="00855A1F" w:rsidRDefault="00BD3206" w:rsidP="00305752">
      <w:r w:rsidRPr="00855A1F">
        <w:t>Anbefalingen er motivere</w:t>
      </w:r>
      <w:r w:rsidR="00855A1F">
        <w:t>t af arkitekturreglen</w:t>
      </w:r>
      <w:r w:rsidR="00855A1F" w:rsidRPr="00855A1F">
        <w:rPr>
          <w:i/>
        </w:rPr>
        <w:t xml:space="preserve"> AR 3</w:t>
      </w:r>
      <w:r w:rsidRPr="00855A1F">
        <w:rPr>
          <w:i/>
        </w:rPr>
        <w:t xml:space="preserve">.1 – </w:t>
      </w:r>
      <w:r w:rsidR="00855A1F" w:rsidRPr="00855A1F">
        <w:rPr>
          <w:i/>
        </w:rPr>
        <w:t>Tag højde for juridiske bindinger i forhold til deling og genbrug af data og it-systemer</w:t>
      </w:r>
      <w:r w:rsidRPr="00855A1F">
        <w:rPr>
          <w:i/>
        </w:rPr>
        <w:t>.</w:t>
      </w:r>
      <w:r w:rsidRPr="00855A1F">
        <w:t xml:space="preserve"> </w:t>
      </w:r>
    </w:p>
    <w:p w14:paraId="65D7D6C8" w14:textId="77777777" w:rsidR="00C0260A" w:rsidRDefault="00C0260A" w:rsidP="00305752">
      <w:pPr>
        <w:rPr>
          <w:highlight w:val="yellow"/>
        </w:rPr>
      </w:pPr>
      <w:r w:rsidRPr="00C0260A">
        <w:t>Reviewboardet vurdere</w:t>
      </w:r>
      <w:r>
        <w:t>r,</w:t>
      </w:r>
      <w:r w:rsidRPr="00C0260A">
        <w:t xml:space="preserve"> at </w:t>
      </w:r>
      <w:r>
        <w:t>det vil være gavnligt for projektet at tydeliggøre hvordan de juridiske rammer skaber forudsætninger for projektet. Eksempelvis kan udbudslovens motiverende rolle for projektets opstart med fordel beskrives, ligesom den relevante lovhjemmel for den opgave Ny NemKonto skal løfte</w:t>
      </w:r>
      <w:r w:rsidR="00ED44D2">
        <w:t>,</w:t>
      </w:r>
      <w:r>
        <w:t xml:space="preserve"> også bør være tydelig for projektet. </w:t>
      </w:r>
      <w:r w:rsidR="00ED44D2">
        <w:t xml:space="preserve">På lignende vis bør også </w:t>
      </w:r>
      <w:r w:rsidR="00C72D21">
        <w:t>de bilaterale aftaler mellem NemKonto og samarbejdspartnere, der er rammesættende for projektet beskrives.</w:t>
      </w:r>
    </w:p>
    <w:p w14:paraId="245793F2" w14:textId="77777777" w:rsidR="00BD3206" w:rsidRPr="00BD3206" w:rsidRDefault="008C7FA9" w:rsidP="00546FB1">
      <w:r>
        <w:rPr>
          <w:b/>
        </w:rPr>
        <w:t>5</w:t>
      </w:r>
      <w:r w:rsidR="00E52915">
        <w:rPr>
          <w:b/>
        </w:rPr>
        <w:t>.</w:t>
      </w:r>
      <w:r w:rsidR="00EA3C6F" w:rsidRPr="00EA3C6F">
        <w:rPr>
          <w:b/>
        </w:rPr>
        <w:t xml:space="preserve"> Det anbefales, at</w:t>
      </w:r>
      <w:r w:rsidR="00286BE8">
        <w:rPr>
          <w:b/>
        </w:rPr>
        <w:t xml:space="preserve"> </w:t>
      </w:r>
      <w:r w:rsidR="00413A0E">
        <w:rPr>
          <w:b/>
        </w:rPr>
        <w:t>projekte</w:t>
      </w:r>
      <w:r w:rsidR="00D32E2D">
        <w:rPr>
          <w:b/>
        </w:rPr>
        <w:t>t anvender de fællesoffentlige regler for begrebs og datamodellering</w:t>
      </w:r>
      <w:r w:rsidR="00413A0E">
        <w:rPr>
          <w:b/>
        </w:rPr>
        <w:t xml:space="preserve">. </w:t>
      </w:r>
    </w:p>
    <w:p w14:paraId="4ED363DC" w14:textId="77777777" w:rsidR="005C39A5" w:rsidRPr="00D32E2D" w:rsidRDefault="00BD3206" w:rsidP="00546FB1">
      <w:pPr>
        <w:rPr>
          <w:highlight w:val="yellow"/>
        </w:rPr>
      </w:pPr>
      <w:r w:rsidRPr="008318C6">
        <w:t>Anbefalingen er motiveret af arkitekturregle</w:t>
      </w:r>
      <w:r w:rsidR="008318C6">
        <w:t>n</w:t>
      </w:r>
      <w:r w:rsidRPr="008318C6">
        <w:rPr>
          <w:i/>
        </w:rPr>
        <w:t xml:space="preserve"> AR </w:t>
      </w:r>
      <w:r w:rsidR="00855A1F" w:rsidRPr="008318C6">
        <w:rPr>
          <w:i/>
        </w:rPr>
        <w:t>1.3</w:t>
      </w:r>
      <w:r w:rsidRPr="008318C6">
        <w:rPr>
          <w:i/>
        </w:rPr>
        <w:t xml:space="preserve"> – </w:t>
      </w:r>
      <w:r w:rsidR="008318C6" w:rsidRPr="008318C6">
        <w:rPr>
          <w:i/>
        </w:rPr>
        <w:t>Anvend fælles ramme for beskrivelse af arkitekturen</w:t>
      </w:r>
      <w:r w:rsidR="00B838D7">
        <w:t xml:space="preserve"> og </w:t>
      </w:r>
      <w:r w:rsidR="00B838D7">
        <w:rPr>
          <w:i/>
        </w:rPr>
        <w:t>6.2 Anvend fælles regler for dokumentation af data</w:t>
      </w:r>
      <w:r w:rsidRPr="008318C6">
        <w:rPr>
          <w:i/>
        </w:rPr>
        <w:t>.</w:t>
      </w:r>
      <w:r w:rsidRPr="00D32E2D">
        <w:rPr>
          <w:highlight w:val="yellow"/>
        </w:rPr>
        <w:t xml:space="preserve"> </w:t>
      </w:r>
    </w:p>
    <w:p w14:paraId="1EAACA90" w14:textId="4F6D2F5F" w:rsidR="007B288E" w:rsidRDefault="00C72D21" w:rsidP="009A2134">
      <w:r w:rsidRPr="00C72D21">
        <w:t>Reviewboardet vurdere</w:t>
      </w:r>
      <w:r>
        <w:t>r</w:t>
      </w:r>
      <w:r w:rsidRPr="00C72D21">
        <w:t xml:space="preserve">, at </w:t>
      </w:r>
      <w:r w:rsidR="00BC7DAB">
        <w:t xml:space="preserve">de data og begreber der indgår i Ny </w:t>
      </w:r>
      <w:r w:rsidR="00CC41A4">
        <w:t>NemKonto</w:t>
      </w:r>
      <w:r w:rsidR="00BC7DAB">
        <w:t xml:space="preserve"> bør modelleres efter der fællesoffentlige regler, for at sikre mulighed for genbrug og udstilling i det fællesoffentlige modelkatalog.</w:t>
      </w:r>
    </w:p>
    <w:p w14:paraId="1929AF69" w14:textId="77777777" w:rsidR="00D32E2D" w:rsidRPr="00BD3206" w:rsidRDefault="00D32E2D" w:rsidP="00D32E2D">
      <w:r>
        <w:rPr>
          <w:b/>
        </w:rPr>
        <w:t>6.</w:t>
      </w:r>
      <w:r w:rsidRPr="00EA3C6F">
        <w:rPr>
          <w:b/>
        </w:rPr>
        <w:t xml:space="preserve"> Det anbefales, at</w:t>
      </w:r>
      <w:r>
        <w:rPr>
          <w:b/>
        </w:rPr>
        <w:t xml:space="preserve"> projektet beskriver hvilke </w:t>
      </w:r>
      <w:r w:rsidR="008318C6">
        <w:rPr>
          <w:b/>
        </w:rPr>
        <w:t>aktører</w:t>
      </w:r>
      <w:r w:rsidR="00B838D7">
        <w:rPr>
          <w:b/>
        </w:rPr>
        <w:t>,</w:t>
      </w:r>
      <w:r w:rsidR="008318C6">
        <w:rPr>
          <w:b/>
        </w:rPr>
        <w:t xml:space="preserve"> der </w:t>
      </w:r>
      <w:r>
        <w:rPr>
          <w:b/>
        </w:rPr>
        <w:t>behandler hvilke data</w:t>
      </w:r>
      <w:r w:rsidR="00B838D7">
        <w:rPr>
          <w:b/>
        </w:rPr>
        <w:t>,</w:t>
      </w:r>
      <w:r>
        <w:rPr>
          <w:b/>
        </w:rPr>
        <w:t xml:space="preserve"> </w:t>
      </w:r>
      <w:r w:rsidR="008318C6">
        <w:rPr>
          <w:b/>
        </w:rPr>
        <w:t>i</w:t>
      </w:r>
      <w:r>
        <w:rPr>
          <w:b/>
        </w:rPr>
        <w:t xml:space="preserve"> hvilke </w:t>
      </w:r>
      <w:r w:rsidR="008318C6">
        <w:rPr>
          <w:b/>
        </w:rPr>
        <w:t>komponenter</w:t>
      </w:r>
      <w:r>
        <w:rPr>
          <w:b/>
        </w:rPr>
        <w:t xml:space="preserve">. </w:t>
      </w:r>
    </w:p>
    <w:p w14:paraId="6F3B125A" w14:textId="77777777" w:rsidR="008318C6" w:rsidRDefault="008318C6" w:rsidP="009A2134">
      <w:r w:rsidRPr="008318C6">
        <w:t>Anbefalingen er motiveret af arkitekturreglerne</w:t>
      </w:r>
      <w:r w:rsidRPr="008318C6">
        <w:rPr>
          <w:i/>
        </w:rPr>
        <w:t xml:space="preserve"> </w:t>
      </w:r>
      <w:r w:rsidR="00B838D7">
        <w:rPr>
          <w:i/>
        </w:rPr>
        <w:t xml:space="preserve">AR 5.2 Optimer tværgående processer efter fælles mål </w:t>
      </w:r>
      <w:r w:rsidR="00B838D7">
        <w:t xml:space="preserve">og </w:t>
      </w:r>
      <w:r w:rsidRPr="008318C6">
        <w:rPr>
          <w:i/>
        </w:rPr>
        <w:t xml:space="preserve">AR </w:t>
      </w:r>
      <w:r w:rsidR="00B838D7">
        <w:rPr>
          <w:i/>
        </w:rPr>
        <w:t>6.1</w:t>
      </w:r>
      <w:r w:rsidRPr="008318C6">
        <w:rPr>
          <w:i/>
        </w:rPr>
        <w:t xml:space="preserve"> – </w:t>
      </w:r>
      <w:r w:rsidR="00B838D7">
        <w:rPr>
          <w:i/>
        </w:rPr>
        <w:t>Del og genbrug data</w:t>
      </w:r>
      <w:r w:rsidRPr="008318C6">
        <w:rPr>
          <w:i/>
        </w:rPr>
        <w:t>.</w:t>
      </w:r>
      <w:r w:rsidRPr="00D32E2D">
        <w:rPr>
          <w:highlight w:val="yellow"/>
        </w:rPr>
        <w:t xml:space="preserve"> </w:t>
      </w:r>
    </w:p>
    <w:p w14:paraId="483C0446" w14:textId="77777777" w:rsidR="00BC7DAB" w:rsidRDefault="00891296" w:rsidP="009A2134">
      <w:r>
        <w:t>Reviewboardet vurderer at det k</w:t>
      </w:r>
      <w:r w:rsidR="003D4B21">
        <w:t xml:space="preserve">an være en hjælp til udarbejdelse </w:t>
      </w:r>
      <w:r w:rsidR="00D31EEF">
        <w:t>af DPIA, e</w:t>
      </w:r>
      <w:r w:rsidR="003D4B21">
        <w:t>ventuelle pri</w:t>
      </w:r>
      <w:r w:rsidR="00D31EEF">
        <w:t>ncipper og arbejdet med privacy by design og dataminimering</w:t>
      </w:r>
      <w:r>
        <w:t xml:space="preserve"> for løsningen hvis det er tydeligt for alle involverede parter, hvem der har ansvaret for hvilken data</w:t>
      </w:r>
      <w:r w:rsidR="00D31EEF">
        <w:t>.</w:t>
      </w:r>
      <w:r w:rsidR="00BC7DAB">
        <w:t xml:space="preserve"> </w:t>
      </w:r>
    </w:p>
    <w:p w14:paraId="417CDBC1" w14:textId="77777777" w:rsidR="00D32E2D" w:rsidRDefault="00D31EEF" w:rsidP="00D32E2D">
      <w:pPr>
        <w:rPr>
          <w:b/>
        </w:rPr>
      </w:pPr>
      <w:r>
        <w:rPr>
          <w:b/>
        </w:rPr>
        <w:t>7</w:t>
      </w:r>
      <w:r w:rsidR="00D32E2D">
        <w:rPr>
          <w:b/>
        </w:rPr>
        <w:t>.</w:t>
      </w:r>
      <w:r w:rsidR="00D32E2D" w:rsidRPr="00EA3C6F">
        <w:rPr>
          <w:b/>
        </w:rPr>
        <w:t xml:space="preserve"> Det anbefales, at</w:t>
      </w:r>
      <w:r w:rsidR="00D32E2D">
        <w:rPr>
          <w:b/>
        </w:rPr>
        <w:t xml:space="preserve"> projekte</w:t>
      </w:r>
      <w:r>
        <w:rPr>
          <w:b/>
        </w:rPr>
        <w:t>t planlægger med syn for det lange perspektiv der tager højde for eksempelvis exit-strategier, komponenternes levetider og det næste genudbud</w:t>
      </w:r>
      <w:r w:rsidR="00D32E2D">
        <w:rPr>
          <w:b/>
        </w:rPr>
        <w:t xml:space="preserve">. </w:t>
      </w:r>
    </w:p>
    <w:p w14:paraId="6E074B49" w14:textId="77777777" w:rsidR="00B838D7" w:rsidRDefault="008318C6" w:rsidP="00D32E2D">
      <w:pPr>
        <w:rPr>
          <w:highlight w:val="yellow"/>
        </w:rPr>
      </w:pPr>
      <w:r w:rsidRPr="008318C6">
        <w:lastRenderedPageBreak/>
        <w:t>Anbefalingen er motiveret af arkitekturreglerne</w:t>
      </w:r>
      <w:r w:rsidRPr="008318C6">
        <w:rPr>
          <w:i/>
        </w:rPr>
        <w:t xml:space="preserve"> AR </w:t>
      </w:r>
      <w:r>
        <w:rPr>
          <w:i/>
        </w:rPr>
        <w:t>2</w:t>
      </w:r>
      <w:r w:rsidRPr="008318C6">
        <w:rPr>
          <w:i/>
        </w:rPr>
        <w:t>.</w:t>
      </w:r>
      <w:r>
        <w:rPr>
          <w:i/>
        </w:rPr>
        <w:t>4</w:t>
      </w:r>
      <w:r w:rsidRPr="008318C6">
        <w:rPr>
          <w:i/>
        </w:rPr>
        <w:t xml:space="preserve"> – </w:t>
      </w:r>
      <w:r w:rsidR="00B838D7">
        <w:rPr>
          <w:i/>
        </w:rPr>
        <w:t xml:space="preserve">Byg med udgangspunkt i brugere og forberedt til forandring </w:t>
      </w:r>
      <w:r w:rsidR="00B838D7">
        <w:t xml:space="preserve">og </w:t>
      </w:r>
      <w:r w:rsidR="00B838D7" w:rsidRPr="00855A1F">
        <w:rPr>
          <w:i/>
        </w:rPr>
        <w:t>AR 3.1 – Tag højde for juridiske bindinger i forhold til deling og genbrug af data og it-systemer</w:t>
      </w:r>
      <w:r w:rsidRPr="008318C6">
        <w:rPr>
          <w:i/>
        </w:rPr>
        <w:t>.</w:t>
      </w:r>
      <w:r w:rsidRPr="00D32E2D">
        <w:rPr>
          <w:highlight w:val="yellow"/>
        </w:rPr>
        <w:t xml:space="preserve"> </w:t>
      </w:r>
    </w:p>
    <w:p w14:paraId="28E016FF" w14:textId="77777777" w:rsidR="00891296" w:rsidRPr="00EF795E" w:rsidRDefault="00EF795E" w:rsidP="00D32E2D">
      <w:r w:rsidRPr="00EF795E">
        <w:t>For</w:t>
      </w:r>
      <w:r>
        <w:t xml:space="preserve"> at undgå at Ny NemKonto kommer i samme problemstilling med udbudspligten, som den nuværende NemKonto er kommet i, vurderer reviewboardet at det vil være hensigtsmæssigt at </w:t>
      </w:r>
      <w:r w:rsidR="005B7DF1">
        <w:t>udforme Ny NemKonto, med henblik på at lette udbudspligten fremover. Dette kan løftes på en række måder, og kan indebærer særlige krav til dokumentation eller løs kobling til driftsmiljøet.</w:t>
      </w:r>
    </w:p>
    <w:p w14:paraId="37DF08A2" w14:textId="77777777" w:rsidR="00D31EEF" w:rsidRPr="00BD3206" w:rsidRDefault="00D31EEF" w:rsidP="00D31EEF">
      <w:r>
        <w:rPr>
          <w:b/>
        </w:rPr>
        <w:t>8.</w:t>
      </w:r>
      <w:r w:rsidRPr="00EA3C6F">
        <w:rPr>
          <w:b/>
        </w:rPr>
        <w:t xml:space="preserve"> Det anbefales, at</w:t>
      </w:r>
      <w:r>
        <w:rPr>
          <w:b/>
        </w:rPr>
        <w:t xml:space="preserve"> p</w:t>
      </w:r>
      <w:r w:rsidR="00640008">
        <w:rPr>
          <w:b/>
        </w:rPr>
        <w:t>rojektet forholder sig til eIDAS</w:t>
      </w:r>
      <w:r>
        <w:rPr>
          <w:b/>
        </w:rPr>
        <w:t xml:space="preserve"> forordningen. Forordningens definerede tillidstjenester </w:t>
      </w:r>
      <w:r w:rsidR="00C26CE3">
        <w:rPr>
          <w:b/>
        </w:rPr>
        <w:t>kan være relevante for projektet at anvende</w:t>
      </w:r>
      <w:r>
        <w:rPr>
          <w:b/>
        </w:rPr>
        <w:t xml:space="preserve">. </w:t>
      </w:r>
    </w:p>
    <w:p w14:paraId="025AFA15" w14:textId="77777777" w:rsidR="00D31EEF" w:rsidRPr="00B838D7" w:rsidRDefault="00D31EEF" w:rsidP="00D31EEF">
      <w:r w:rsidRPr="00B838D7">
        <w:t xml:space="preserve">Anbefalingen </w:t>
      </w:r>
      <w:r w:rsidR="00B838D7" w:rsidRPr="00B838D7">
        <w:t>er motiveret af arkitekturreglen</w:t>
      </w:r>
      <w:r w:rsidRPr="00B838D7">
        <w:rPr>
          <w:i/>
        </w:rPr>
        <w:t xml:space="preserve"> AR </w:t>
      </w:r>
      <w:r w:rsidR="00B838D7" w:rsidRPr="00B838D7">
        <w:rPr>
          <w:i/>
        </w:rPr>
        <w:t>4</w:t>
      </w:r>
      <w:r w:rsidRPr="00B838D7">
        <w:rPr>
          <w:i/>
        </w:rPr>
        <w:t>.</w:t>
      </w:r>
      <w:r w:rsidR="00B838D7" w:rsidRPr="00B838D7">
        <w:rPr>
          <w:i/>
        </w:rPr>
        <w:t>2</w:t>
      </w:r>
      <w:r w:rsidRPr="00B838D7">
        <w:rPr>
          <w:i/>
        </w:rPr>
        <w:t xml:space="preserve"> – </w:t>
      </w:r>
      <w:r w:rsidR="00B838D7" w:rsidRPr="00B838D7">
        <w:rPr>
          <w:i/>
        </w:rPr>
        <w:t>Anvend fælles arkitektur for informationssikkerhed</w:t>
      </w:r>
      <w:r w:rsidRPr="00B838D7">
        <w:rPr>
          <w:i/>
        </w:rPr>
        <w:t>.</w:t>
      </w:r>
      <w:r w:rsidRPr="00B838D7">
        <w:t xml:space="preserve"> </w:t>
      </w:r>
    </w:p>
    <w:p w14:paraId="7738B930" w14:textId="77777777" w:rsidR="00D32E2D" w:rsidRPr="007B288E" w:rsidRDefault="00640008" w:rsidP="009A2134">
      <w:r>
        <w:t>Reviewboardet vurderer, at Ny</w:t>
      </w:r>
      <w:r w:rsidR="00B44F7F">
        <w:t xml:space="preserve"> </w:t>
      </w:r>
      <w:r>
        <w:t>NemKontos funktionalitet kan indeholde en tillidstjeneste der kan tolkes til at være en delivery service, for information om penge. Det kan have indflydelse på projektets scope, i forhold til europæiske brugere uden for Danmark. Eksempelvis i situationer hvor danskere har udenlandske arbejdsgivere, eller danske virksomheder har udenlandske medarbejdere, der ikke er kunder i en dansk bank.</w:t>
      </w:r>
    </w:p>
    <w:p w14:paraId="5625642B" w14:textId="77777777" w:rsidR="001E48B6" w:rsidRDefault="001E48B6" w:rsidP="001E48B6">
      <w:pPr>
        <w:pStyle w:val="Overskrift2"/>
      </w:pPr>
      <w:bookmarkStart w:id="13" w:name="_Toc29215461"/>
      <w:r>
        <w:t>Tværgående Anbefalinger</w:t>
      </w:r>
      <w:bookmarkEnd w:id="13"/>
      <w:r>
        <w:t xml:space="preserve"> </w:t>
      </w:r>
    </w:p>
    <w:p w14:paraId="7380AE98" w14:textId="2ABF3EEF" w:rsidR="001E48B6" w:rsidRPr="00E52915" w:rsidRDefault="001E48B6">
      <w:pPr>
        <w:rPr>
          <w:b/>
        </w:rPr>
      </w:pPr>
      <w:r>
        <w:br/>
      </w:r>
      <w:r w:rsidR="00C26CE3">
        <w:rPr>
          <w:b/>
        </w:rPr>
        <w:t>9</w:t>
      </w:r>
      <w:r w:rsidRPr="00FD1AF1">
        <w:rPr>
          <w:b/>
        </w:rPr>
        <w:t xml:space="preserve">. </w:t>
      </w:r>
      <w:r w:rsidR="00E52915" w:rsidRPr="00FD1AF1">
        <w:rPr>
          <w:b/>
        </w:rPr>
        <w:t>Det anbefales</w:t>
      </w:r>
      <w:r w:rsidR="007C2AFA" w:rsidRPr="00FD1AF1">
        <w:rPr>
          <w:b/>
        </w:rPr>
        <w:t>,</w:t>
      </w:r>
      <w:r w:rsidR="00E52915" w:rsidRPr="00FD1AF1">
        <w:rPr>
          <w:b/>
        </w:rPr>
        <w:t xml:space="preserve"> at </w:t>
      </w:r>
      <w:r w:rsidR="00C26CE3">
        <w:rPr>
          <w:b/>
        </w:rPr>
        <w:t xml:space="preserve">Digitaliseringsstyrelsen koordinere kravene </w:t>
      </w:r>
      <w:r w:rsidR="00702489">
        <w:rPr>
          <w:b/>
        </w:rPr>
        <w:t>til anvendere og datalever</w:t>
      </w:r>
      <w:r w:rsidR="00C26CE3">
        <w:rPr>
          <w:b/>
        </w:rPr>
        <w:t xml:space="preserve">andører fra NgDP, MitID, </w:t>
      </w:r>
      <w:r w:rsidR="00702489">
        <w:rPr>
          <w:b/>
        </w:rPr>
        <w:t>Nem</w:t>
      </w:r>
      <w:r w:rsidR="00C26CE3">
        <w:rPr>
          <w:b/>
        </w:rPr>
        <w:t>Log</w:t>
      </w:r>
      <w:r w:rsidR="00702489">
        <w:rPr>
          <w:b/>
        </w:rPr>
        <w:t>-</w:t>
      </w:r>
      <w:r w:rsidR="00C26CE3">
        <w:rPr>
          <w:b/>
        </w:rPr>
        <w:t>in</w:t>
      </w:r>
      <w:r w:rsidR="00702489">
        <w:rPr>
          <w:b/>
        </w:rPr>
        <w:t>3</w:t>
      </w:r>
      <w:r w:rsidR="00C26CE3">
        <w:rPr>
          <w:b/>
        </w:rPr>
        <w:t>, Ork</w:t>
      </w:r>
      <w:r w:rsidR="00640008">
        <w:rPr>
          <w:b/>
        </w:rPr>
        <w:t>estreringskomponenten og Ny NemK</w:t>
      </w:r>
      <w:r w:rsidR="00C26CE3">
        <w:rPr>
          <w:b/>
        </w:rPr>
        <w:t>onto, når systemerne går live</w:t>
      </w:r>
      <w:r w:rsidR="009A2134">
        <w:rPr>
          <w:b/>
        </w:rPr>
        <w:t>.</w:t>
      </w:r>
    </w:p>
    <w:p w14:paraId="2AB6E96B" w14:textId="77777777" w:rsidR="00C80FFB" w:rsidRPr="00FF3B49" w:rsidRDefault="00FF3B49" w:rsidP="00263FA5">
      <w:r w:rsidRPr="00FF3B49">
        <w:t xml:space="preserve">Når en række nye infrastrukturkomponenter </w:t>
      </w:r>
      <w:r w:rsidR="003F24E5">
        <w:t xml:space="preserve">går live nogenlunde samtidig, </w:t>
      </w:r>
      <w:r w:rsidR="00B20B8B">
        <w:t>stiller det en række samtidige krav til dataleverandører og aktører i det offentlige digitale landskab. For at støtte anvendelse og mindske byrderne for dataleverandørerne vurderer reviewboardet at de krav der udspringer af overgangen til en ny generation af infrastrukturkomponenter</w:t>
      </w:r>
      <w:r w:rsidR="00971667">
        <w:t xml:space="preserve"> bør</w:t>
      </w:r>
      <w:r w:rsidR="00B20B8B">
        <w:t xml:space="preserve"> koordineres, således at anvender og dataleverandører kan få et samlet overblik over hvilke forandringer de står overfor.</w:t>
      </w:r>
    </w:p>
    <w:p w14:paraId="46256C70" w14:textId="77777777" w:rsidR="00C26CE3" w:rsidRDefault="00C26CE3" w:rsidP="00C26CE3">
      <w:pPr>
        <w:rPr>
          <w:b/>
        </w:rPr>
      </w:pPr>
      <w:r>
        <w:rPr>
          <w:b/>
        </w:rPr>
        <w:t>10</w:t>
      </w:r>
      <w:r w:rsidRPr="00FD1AF1">
        <w:rPr>
          <w:b/>
        </w:rPr>
        <w:t xml:space="preserve">. Det anbefales, at </w:t>
      </w:r>
      <w:r>
        <w:rPr>
          <w:b/>
        </w:rPr>
        <w:t>Digitaliseringsstyrelsen etablere</w:t>
      </w:r>
      <w:r w:rsidR="00702489">
        <w:rPr>
          <w:b/>
        </w:rPr>
        <w:t>r</w:t>
      </w:r>
      <w:r>
        <w:rPr>
          <w:b/>
        </w:rPr>
        <w:t xml:space="preserve"> ensartede pr</w:t>
      </w:r>
      <w:r w:rsidR="00643DCB">
        <w:rPr>
          <w:b/>
        </w:rPr>
        <w:t>incipper for dokumentation og</w:t>
      </w:r>
      <w:r>
        <w:rPr>
          <w:b/>
        </w:rPr>
        <w:t xml:space="preserve"> processer der kan understøtte </w:t>
      </w:r>
      <w:r w:rsidR="00702489">
        <w:rPr>
          <w:b/>
        </w:rPr>
        <w:t>nemmer</w:t>
      </w:r>
      <w:r w:rsidR="00127EFF">
        <w:rPr>
          <w:b/>
        </w:rPr>
        <w:t>e genudbud af eksisterende infrastrukturløsninger.</w:t>
      </w:r>
    </w:p>
    <w:p w14:paraId="24BDD1DE" w14:textId="7F90FB6A" w:rsidR="00BD3206" w:rsidRPr="00971667" w:rsidRDefault="00315D96">
      <w:r>
        <w:t>Reviewboardet vurdere, at ensartet dokumentation på tværs af infrastrukturkomponenterne, og ensartede principper om hvordan man understøtter fremtidig udvikling og genudbud, kan være med til at gøre fremtidige udbudsproces</w:t>
      </w:r>
      <w:r w:rsidR="00133012">
        <w:t xml:space="preserve">ser nemmere </w:t>
      </w:r>
      <w:r w:rsidR="00FB6E8F">
        <w:t>at planlægge</w:t>
      </w:r>
      <w:r>
        <w:t xml:space="preserve">. </w:t>
      </w:r>
    </w:p>
    <w:p w14:paraId="2128E893" w14:textId="77777777" w:rsidR="007C2AFA" w:rsidRPr="00BA2C92" w:rsidRDefault="007C2AFA"/>
    <w:sectPr w:rsidR="007C2AFA" w:rsidRPr="00BA2C9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23D83" w16cid:durableId="2177E936"/>
  <w16cid:commentId w16cid:paraId="1C3A20B4" w16cid:durableId="2177E716"/>
  <w16cid:commentId w16cid:paraId="17FE9E99" w16cid:durableId="2177E789"/>
  <w16cid:commentId w16cid:paraId="6834611D" w16cid:durableId="2177E7E9"/>
  <w16cid:commentId w16cid:paraId="58B4CF9F" w16cid:durableId="2177E9E8"/>
  <w16cid:commentId w16cid:paraId="2DDC78A3" w16cid:durableId="2177E8EA"/>
  <w16cid:commentId w16cid:paraId="02BE2134" w16cid:durableId="2177E855"/>
  <w16cid:commentId w16cid:paraId="4B24BE53" w16cid:durableId="2177E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95D3" w14:textId="77777777" w:rsidR="008131F6" w:rsidRDefault="008131F6">
      <w:pPr>
        <w:spacing w:after="0" w:line="240" w:lineRule="auto"/>
      </w:pPr>
      <w:r>
        <w:separator/>
      </w:r>
    </w:p>
  </w:endnote>
  <w:endnote w:type="continuationSeparator" w:id="0">
    <w:p w14:paraId="7328B669" w14:textId="77777777" w:rsidR="008131F6" w:rsidRDefault="0081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5829" w14:textId="77777777" w:rsidR="008131F6" w:rsidRDefault="008131F6">
      <w:pPr>
        <w:spacing w:after="0" w:line="240" w:lineRule="auto"/>
      </w:pPr>
      <w:r>
        <w:separator/>
      </w:r>
    </w:p>
  </w:footnote>
  <w:footnote w:type="continuationSeparator" w:id="0">
    <w:p w14:paraId="4E2F421A" w14:textId="77777777" w:rsidR="008131F6" w:rsidRDefault="00813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860C9B"/>
    <w:multiLevelType w:val="hybridMultilevel"/>
    <w:tmpl w:val="3CC6D9CE"/>
    <w:lvl w:ilvl="0" w:tplc="9DF652D6">
      <w:start w:val="3"/>
      <w:numFmt w:val="bullet"/>
      <w:lvlText w:val="-"/>
      <w:lvlJc w:val="left"/>
      <w:pPr>
        <w:ind w:left="927" w:hanging="360"/>
      </w:pPr>
      <w:rPr>
        <w:rFonts w:ascii="Calibri" w:eastAsiaTheme="minorEastAsia"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24C0201F"/>
    <w:multiLevelType w:val="hybridMultilevel"/>
    <w:tmpl w:val="07A6C600"/>
    <w:lvl w:ilvl="0" w:tplc="7BA6F200">
      <w:start w:val="1"/>
      <w:numFmt w:val="bullet"/>
      <w:lvlText w:val="•"/>
      <w:lvlJc w:val="left"/>
      <w:pPr>
        <w:tabs>
          <w:tab w:val="num" w:pos="720"/>
        </w:tabs>
        <w:ind w:left="720" w:hanging="360"/>
      </w:pPr>
      <w:rPr>
        <w:rFonts w:ascii="Arial" w:hAnsi="Arial" w:hint="default"/>
      </w:rPr>
    </w:lvl>
    <w:lvl w:ilvl="1" w:tplc="7E8C3108" w:tentative="1">
      <w:start w:val="1"/>
      <w:numFmt w:val="bullet"/>
      <w:lvlText w:val="•"/>
      <w:lvlJc w:val="left"/>
      <w:pPr>
        <w:tabs>
          <w:tab w:val="num" w:pos="1440"/>
        </w:tabs>
        <w:ind w:left="1440" w:hanging="360"/>
      </w:pPr>
      <w:rPr>
        <w:rFonts w:ascii="Arial" w:hAnsi="Arial" w:hint="default"/>
      </w:rPr>
    </w:lvl>
    <w:lvl w:ilvl="2" w:tplc="65E2223C" w:tentative="1">
      <w:start w:val="1"/>
      <w:numFmt w:val="bullet"/>
      <w:lvlText w:val="•"/>
      <w:lvlJc w:val="left"/>
      <w:pPr>
        <w:tabs>
          <w:tab w:val="num" w:pos="2160"/>
        </w:tabs>
        <w:ind w:left="2160" w:hanging="360"/>
      </w:pPr>
      <w:rPr>
        <w:rFonts w:ascii="Arial" w:hAnsi="Arial" w:hint="default"/>
      </w:rPr>
    </w:lvl>
    <w:lvl w:ilvl="3" w:tplc="A0C05830" w:tentative="1">
      <w:start w:val="1"/>
      <w:numFmt w:val="bullet"/>
      <w:lvlText w:val="•"/>
      <w:lvlJc w:val="left"/>
      <w:pPr>
        <w:tabs>
          <w:tab w:val="num" w:pos="2880"/>
        </w:tabs>
        <w:ind w:left="2880" w:hanging="360"/>
      </w:pPr>
      <w:rPr>
        <w:rFonts w:ascii="Arial" w:hAnsi="Arial" w:hint="default"/>
      </w:rPr>
    </w:lvl>
    <w:lvl w:ilvl="4" w:tplc="9D344C42" w:tentative="1">
      <w:start w:val="1"/>
      <w:numFmt w:val="bullet"/>
      <w:lvlText w:val="•"/>
      <w:lvlJc w:val="left"/>
      <w:pPr>
        <w:tabs>
          <w:tab w:val="num" w:pos="3600"/>
        </w:tabs>
        <w:ind w:left="3600" w:hanging="360"/>
      </w:pPr>
      <w:rPr>
        <w:rFonts w:ascii="Arial" w:hAnsi="Arial" w:hint="default"/>
      </w:rPr>
    </w:lvl>
    <w:lvl w:ilvl="5" w:tplc="0032CB86" w:tentative="1">
      <w:start w:val="1"/>
      <w:numFmt w:val="bullet"/>
      <w:lvlText w:val="•"/>
      <w:lvlJc w:val="left"/>
      <w:pPr>
        <w:tabs>
          <w:tab w:val="num" w:pos="4320"/>
        </w:tabs>
        <w:ind w:left="4320" w:hanging="360"/>
      </w:pPr>
      <w:rPr>
        <w:rFonts w:ascii="Arial" w:hAnsi="Arial" w:hint="default"/>
      </w:rPr>
    </w:lvl>
    <w:lvl w:ilvl="6" w:tplc="78CA52F8" w:tentative="1">
      <w:start w:val="1"/>
      <w:numFmt w:val="bullet"/>
      <w:lvlText w:val="•"/>
      <w:lvlJc w:val="left"/>
      <w:pPr>
        <w:tabs>
          <w:tab w:val="num" w:pos="5040"/>
        </w:tabs>
        <w:ind w:left="5040" w:hanging="360"/>
      </w:pPr>
      <w:rPr>
        <w:rFonts w:ascii="Arial" w:hAnsi="Arial" w:hint="default"/>
      </w:rPr>
    </w:lvl>
    <w:lvl w:ilvl="7" w:tplc="85E8A0AC" w:tentative="1">
      <w:start w:val="1"/>
      <w:numFmt w:val="bullet"/>
      <w:lvlText w:val="•"/>
      <w:lvlJc w:val="left"/>
      <w:pPr>
        <w:tabs>
          <w:tab w:val="num" w:pos="5760"/>
        </w:tabs>
        <w:ind w:left="5760" w:hanging="360"/>
      </w:pPr>
      <w:rPr>
        <w:rFonts w:ascii="Arial" w:hAnsi="Arial" w:hint="default"/>
      </w:rPr>
    </w:lvl>
    <w:lvl w:ilvl="8" w:tplc="5E9298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1194F"/>
    <w:rsid w:val="00025A57"/>
    <w:rsid w:val="00026761"/>
    <w:rsid w:val="0003512B"/>
    <w:rsid w:val="000408BB"/>
    <w:rsid w:val="0004424C"/>
    <w:rsid w:val="00050A8A"/>
    <w:rsid w:val="000527D8"/>
    <w:rsid w:val="000827AA"/>
    <w:rsid w:val="000839C0"/>
    <w:rsid w:val="000A1FDB"/>
    <w:rsid w:val="000C799C"/>
    <w:rsid w:val="000D14D6"/>
    <w:rsid w:val="00110AEB"/>
    <w:rsid w:val="00114216"/>
    <w:rsid w:val="00116D8E"/>
    <w:rsid w:val="00127EFF"/>
    <w:rsid w:val="001318BA"/>
    <w:rsid w:val="00133012"/>
    <w:rsid w:val="00143368"/>
    <w:rsid w:val="00143E69"/>
    <w:rsid w:val="0014465B"/>
    <w:rsid w:val="00144B04"/>
    <w:rsid w:val="00155B6B"/>
    <w:rsid w:val="00163FDA"/>
    <w:rsid w:val="00164E24"/>
    <w:rsid w:val="00170E77"/>
    <w:rsid w:val="00171205"/>
    <w:rsid w:val="00174AD1"/>
    <w:rsid w:val="001A13A8"/>
    <w:rsid w:val="001A290A"/>
    <w:rsid w:val="001A46D7"/>
    <w:rsid w:val="001B0B51"/>
    <w:rsid w:val="001B2549"/>
    <w:rsid w:val="001B3E1F"/>
    <w:rsid w:val="001B7B6A"/>
    <w:rsid w:val="001C6ADA"/>
    <w:rsid w:val="001D03D1"/>
    <w:rsid w:val="001E264B"/>
    <w:rsid w:val="001E48B6"/>
    <w:rsid w:val="001F0775"/>
    <w:rsid w:val="001F2E7D"/>
    <w:rsid w:val="001F4188"/>
    <w:rsid w:val="001F52FD"/>
    <w:rsid w:val="0020576F"/>
    <w:rsid w:val="00210044"/>
    <w:rsid w:val="00210E7D"/>
    <w:rsid w:val="00213547"/>
    <w:rsid w:val="00214D54"/>
    <w:rsid w:val="002162D4"/>
    <w:rsid w:val="00216C1C"/>
    <w:rsid w:val="00220BAE"/>
    <w:rsid w:val="00223DCF"/>
    <w:rsid w:val="00224A6F"/>
    <w:rsid w:val="0022721B"/>
    <w:rsid w:val="002274E8"/>
    <w:rsid w:val="00227E3D"/>
    <w:rsid w:val="00230FED"/>
    <w:rsid w:val="002336AA"/>
    <w:rsid w:val="00233E26"/>
    <w:rsid w:val="00240E95"/>
    <w:rsid w:val="00250F19"/>
    <w:rsid w:val="00255306"/>
    <w:rsid w:val="00256F93"/>
    <w:rsid w:val="00263FA5"/>
    <w:rsid w:val="00275CF6"/>
    <w:rsid w:val="00276562"/>
    <w:rsid w:val="00276B1D"/>
    <w:rsid w:val="002813C2"/>
    <w:rsid w:val="0028201C"/>
    <w:rsid w:val="00286BE8"/>
    <w:rsid w:val="00292B97"/>
    <w:rsid w:val="002A4E29"/>
    <w:rsid w:val="002A7C09"/>
    <w:rsid w:val="002B0FAE"/>
    <w:rsid w:val="002B75A7"/>
    <w:rsid w:val="002C41C9"/>
    <w:rsid w:val="002D1C56"/>
    <w:rsid w:val="002D7AB3"/>
    <w:rsid w:val="002E3003"/>
    <w:rsid w:val="002E7F2D"/>
    <w:rsid w:val="00300BD9"/>
    <w:rsid w:val="00305752"/>
    <w:rsid w:val="00315D96"/>
    <w:rsid w:val="0032725A"/>
    <w:rsid w:val="00330385"/>
    <w:rsid w:val="0034131F"/>
    <w:rsid w:val="00343BFE"/>
    <w:rsid w:val="0036014F"/>
    <w:rsid w:val="003653E9"/>
    <w:rsid w:val="00366D0B"/>
    <w:rsid w:val="00366F51"/>
    <w:rsid w:val="003675AC"/>
    <w:rsid w:val="00373E1F"/>
    <w:rsid w:val="0038287E"/>
    <w:rsid w:val="003866D7"/>
    <w:rsid w:val="0039423C"/>
    <w:rsid w:val="00394B93"/>
    <w:rsid w:val="003A22E8"/>
    <w:rsid w:val="003A6E44"/>
    <w:rsid w:val="003C758A"/>
    <w:rsid w:val="003D1CDE"/>
    <w:rsid w:val="003D3708"/>
    <w:rsid w:val="003D4B21"/>
    <w:rsid w:val="003D7C57"/>
    <w:rsid w:val="003E3568"/>
    <w:rsid w:val="003F24E5"/>
    <w:rsid w:val="003F3D54"/>
    <w:rsid w:val="003F7DBB"/>
    <w:rsid w:val="0040367C"/>
    <w:rsid w:val="00404CA7"/>
    <w:rsid w:val="00406438"/>
    <w:rsid w:val="004076BF"/>
    <w:rsid w:val="00413A0E"/>
    <w:rsid w:val="004215CF"/>
    <w:rsid w:val="00422C6B"/>
    <w:rsid w:val="00426F3D"/>
    <w:rsid w:val="00427839"/>
    <w:rsid w:val="004436A4"/>
    <w:rsid w:val="00443996"/>
    <w:rsid w:val="00447729"/>
    <w:rsid w:val="00453365"/>
    <w:rsid w:val="004665B3"/>
    <w:rsid w:val="00473CAF"/>
    <w:rsid w:val="004862DC"/>
    <w:rsid w:val="004900E6"/>
    <w:rsid w:val="00491430"/>
    <w:rsid w:val="00497B6D"/>
    <w:rsid w:val="004A4594"/>
    <w:rsid w:val="004B2042"/>
    <w:rsid w:val="004B6400"/>
    <w:rsid w:val="004C13A6"/>
    <w:rsid w:val="004C3680"/>
    <w:rsid w:val="004C6A26"/>
    <w:rsid w:val="004C6A6B"/>
    <w:rsid w:val="004D0A05"/>
    <w:rsid w:val="004F5DA0"/>
    <w:rsid w:val="00500D02"/>
    <w:rsid w:val="00517CBF"/>
    <w:rsid w:val="00526DD4"/>
    <w:rsid w:val="00534E09"/>
    <w:rsid w:val="00540EB1"/>
    <w:rsid w:val="0054654A"/>
    <w:rsid w:val="00546FB1"/>
    <w:rsid w:val="005570EE"/>
    <w:rsid w:val="005620A7"/>
    <w:rsid w:val="0056219B"/>
    <w:rsid w:val="00565514"/>
    <w:rsid w:val="005662FC"/>
    <w:rsid w:val="0057116C"/>
    <w:rsid w:val="005B1C7C"/>
    <w:rsid w:val="005B26FA"/>
    <w:rsid w:val="005B28E1"/>
    <w:rsid w:val="005B7A67"/>
    <w:rsid w:val="005B7B58"/>
    <w:rsid w:val="005B7DF1"/>
    <w:rsid w:val="005C02E8"/>
    <w:rsid w:val="005C39A5"/>
    <w:rsid w:val="005C4A35"/>
    <w:rsid w:val="005C7A4F"/>
    <w:rsid w:val="005D44D4"/>
    <w:rsid w:val="005D54A9"/>
    <w:rsid w:val="005D695A"/>
    <w:rsid w:val="005E14B6"/>
    <w:rsid w:val="005E5F19"/>
    <w:rsid w:val="005F22BE"/>
    <w:rsid w:val="005F4E5D"/>
    <w:rsid w:val="00611391"/>
    <w:rsid w:val="00612363"/>
    <w:rsid w:val="00620276"/>
    <w:rsid w:val="00640008"/>
    <w:rsid w:val="00642505"/>
    <w:rsid w:val="006428FF"/>
    <w:rsid w:val="00643DCB"/>
    <w:rsid w:val="0064685A"/>
    <w:rsid w:val="0064717F"/>
    <w:rsid w:val="0065155B"/>
    <w:rsid w:val="00670745"/>
    <w:rsid w:val="006732F1"/>
    <w:rsid w:val="00680F05"/>
    <w:rsid w:val="00687793"/>
    <w:rsid w:val="0069274E"/>
    <w:rsid w:val="0069548C"/>
    <w:rsid w:val="006B7FD4"/>
    <w:rsid w:val="006C5A08"/>
    <w:rsid w:val="006C5E72"/>
    <w:rsid w:val="006D004C"/>
    <w:rsid w:val="006D0135"/>
    <w:rsid w:val="006D0A4C"/>
    <w:rsid w:val="006E21E5"/>
    <w:rsid w:val="006F3BF0"/>
    <w:rsid w:val="00701C49"/>
    <w:rsid w:val="00702489"/>
    <w:rsid w:val="00703C49"/>
    <w:rsid w:val="007050FF"/>
    <w:rsid w:val="00705B59"/>
    <w:rsid w:val="007136E5"/>
    <w:rsid w:val="00724C0E"/>
    <w:rsid w:val="007257E3"/>
    <w:rsid w:val="0072754B"/>
    <w:rsid w:val="007349C8"/>
    <w:rsid w:val="00743DAF"/>
    <w:rsid w:val="00756671"/>
    <w:rsid w:val="0078073D"/>
    <w:rsid w:val="00785D62"/>
    <w:rsid w:val="00787533"/>
    <w:rsid w:val="0079680E"/>
    <w:rsid w:val="0079783C"/>
    <w:rsid w:val="007A0342"/>
    <w:rsid w:val="007B288E"/>
    <w:rsid w:val="007B3DA4"/>
    <w:rsid w:val="007B6E2E"/>
    <w:rsid w:val="007C2AFA"/>
    <w:rsid w:val="007C357C"/>
    <w:rsid w:val="007C588E"/>
    <w:rsid w:val="007C765C"/>
    <w:rsid w:val="007C7B82"/>
    <w:rsid w:val="007D629A"/>
    <w:rsid w:val="007E1D1E"/>
    <w:rsid w:val="007E23C1"/>
    <w:rsid w:val="007F2C36"/>
    <w:rsid w:val="007F7E57"/>
    <w:rsid w:val="00803CE6"/>
    <w:rsid w:val="00812532"/>
    <w:rsid w:val="00812D52"/>
    <w:rsid w:val="008131F6"/>
    <w:rsid w:val="008160B9"/>
    <w:rsid w:val="00816B00"/>
    <w:rsid w:val="00817882"/>
    <w:rsid w:val="008232E3"/>
    <w:rsid w:val="008318C6"/>
    <w:rsid w:val="00835703"/>
    <w:rsid w:val="008369B9"/>
    <w:rsid w:val="0084468A"/>
    <w:rsid w:val="008449CA"/>
    <w:rsid w:val="0085237D"/>
    <w:rsid w:val="00855A1F"/>
    <w:rsid w:val="00857698"/>
    <w:rsid w:val="00861C58"/>
    <w:rsid w:val="0086400B"/>
    <w:rsid w:val="008823A8"/>
    <w:rsid w:val="00884D5E"/>
    <w:rsid w:val="00891296"/>
    <w:rsid w:val="008A161D"/>
    <w:rsid w:val="008A3BC0"/>
    <w:rsid w:val="008A64F0"/>
    <w:rsid w:val="008A77F9"/>
    <w:rsid w:val="008B1AF7"/>
    <w:rsid w:val="008B2899"/>
    <w:rsid w:val="008C3685"/>
    <w:rsid w:val="008C3786"/>
    <w:rsid w:val="008C7AE5"/>
    <w:rsid w:val="008C7FA9"/>
    <w:rsid w:val="008E2098"/>
    <w:rsid w:val="008E53C0"/>
    <w:rsid w:val="008F6B50"/>
    <w:rsid w:val="008F71E6"/>
    <w:rsid w:val="00903335"/>
    <w:rsid w:val="00935C62"/>
    <w:rsid w:val="00937A6E"/>
    <w:rsid w:val="00966E4C"/>
    <w:rsid w:val="00971667"/>
    <w:rsid w:val="00975483"/>
    <w:rsid w:val="00975C64"/>
    <w:rsid w:val="0099225C"/>
    <w:rsid w:val="00994EF9"/>
    <w:rsid w:val="009A2134"/>
    <w:rsid w:val="009A3938"/>
    <w:rsid w:val="009B40C9"/>
    <w:rsid w:val="009B574E"/>
    <w:rsid w:val="009B6C8F"/>
    <w:rsid w:val="009B7997"/>
    <w:rsid w:val="009C0C0A"/>
    <w:rsid w:val="009C0C23"/>
    <w:rsid w:val="009C2C1C"/>
    <w:rsid w:val="009C509D"/>
    <w:rsid w:val="009C6CA7"/>
    <w:rsid w:val="009D028D"/>
    <w:rsid w:val="009E0191"/>
    <w:rsid w:val="009F453A"/>
    <w:rsid w:val="009F4A0D"/>
    <w:rsid w:val="00A00F5F"/>
    <w:rsid w:val="00A0514D"/>
    <w:rsid w:val="00A245A3"/>
    <w:rsid w:val="00A325DC"/>
    <w:rsid w:val="00A33042"/>
    <w:rsid w:val="00A35C5A"/>
    <w:rsid w:val="00A41A03"/>
    <w:rsid w:val="00A458D5"/>
    <w:rsid w:val="00A62408"/>
    <w:rsid w:val="00A64D12"/>
    <w:rsid w:val="00A663F2"/>
    <w:rsid w:val="00A70FC8"/>
    <w:rsid w:val="00A71BA3"/>
    <w:rsid w:val="00A86F7C"/>
    <w:rsid w:val="00A90515"/>
    <w:rsid w:val="00A92122"/>
    <w:rsid w:val="00AA11DE"/>
    <w:rsid w:val="00AA3F6D"/>
    <w:rsid w:val="00AC7553"/>
    <w:rsid w:val="00AE079F"/>
    <w:rsid w:val="00AF54E9"/>
    <w:rsid w:val="00AF576E"/>
    <w:rsid w:val="00AF679F"/>
    <w:rsid w:val="00B01838"/>
    <w:rsid w:val="00B02137"/>
    <w:rsid w:val="00B06FF5"/>
    <w:rsid w:val="00B10CAF"/>
    <w:rsid w:val="00B12FCB"/>
    <w:rsid w:val="00B14A08"/>
    <w:rsid w:val="00B20B8B"/>
    <w:rsid w:val="00B226BF"/>
    <w:rsid w:val="00B25FEA"/>
    <w:rsid w:val="00B307A1"/>
    <w:rsid w:val="00B32C34"/>
    <w:rsid w:val="00B41356"/>
    <w:rsid w:val="00B44F7F"/>
    <w:rsid w:val="00B46E21"/>
    <w:rsid w:val="00B4777C"/>
    <w:rsid w:val="00B50EA1"/>
    <w:rsid w:val="00B559AD"/>
    <w:rsid w:val="00B57878"/>
    <w:rsid w:val="00B57E8E"/>
    <w:rsid w:val="00B670DE"/>
    <w:rsid w:val="00B671AB"/>
    <w:rsid w:val="00B758EC"/>
    <w:rsid w:val="00B838D7"/>
    <w:rsid w:val="00B83B86"/>
    <w:rsid w:val="00BA2C92"/>
    <w:rsid w:val="00BA7BA0"/>
    <w:rsid w:val="00BB4C91"/>
    <w:rsid w:val="00BC7638"/>
    <w:rsid w:val="00BC7DAB"/>
    <w:rsid w:val="00BD0C9E"/>
    <w:rsid w:val="00BD19C7"/>
    <w:rsid w:val="00BD3206"/>
    <w:rsid w:val="00BD5E39"/>
    <w:rsid w:val="00BD6D29"/>
    <w:rsid w:val="00BF4D03"/>
    <w:rsid w:val="00C0260A"/>
    <w:rsid w:val="00C053B9"/>
    <w:rsid w:val="00C102ED"/>
    <w:rsid w:val="00C128C5"/>
    <w:rsid w:val="00C2058B"/>
    <w:rsid w:val="00C25C3A"/>
    <w:rsid w:val="00C26CE3"/>
    <w:rsid w:val="00C32ED1"/>
    <w:rsid w:val="00C44F14"/>
    <w:rsid w:val="00C4768C"/>
    <w:rsid w:val="00C47855"/>
    <w:rsid w:val="00C575DB"/>
    <w:rsid w:val="00C60C01"/>
    <w:rsid w:val="00C72D21"/>
    <w:rsid w:val="00C75969"/>
    <w:rsid w:val="00C80FFB"/>
    <w:rsid w:val="00C86559"/>
    <w:rsid w:val="00C867F2"/>
    <w:rsid w:val="00C87582"/>
    <w:rsid w:val="00C93D77"/>
    <w:rsid w:val="00C94828"/>
    <w:rsid w:val="00CA125B"/>
    <w:rsid w:val="00CA296C"/>
    <w:rsid w:val="00CC41A4"/>
    <w:rsid w:val="00CD69FE"/>
    <w:rsid w:val="00CF0532"/>
    <w:rsid w:val="00CF736F"/>
    <w:rsid w:val="00D0089E"/>
    <w:rsid w:val="00D019D4"/>
    <w:rsid w:val="00D0758E"/>
    <w:rsid w:val="00D142BB"/>
    <w:rsid w:val="00D302F4"/>
    <w:rsid w:val="00D31251"/>
    <w:rsid w:val="00D31793"/>
    <w:rsid w:val="00D31EEF"/>
    <w:rsid w:val="00D3243F"/>
    <w:rsid w:val="00D32E2D"/>
    <w:rsid w:val="00D666E4"/>
    <w:rsid w:val="00D66E80"/>
    <w:rsid w:val="00D9465E"/>
    <w:rsid w:val="00D96D55"/>
    <w:rsid w:val="00DA3897"/>
    <w:rsid w:val="00DB0E78"/>
    <w:rsid w:val="00DB69A3"/>
    <w:rsid w:val="00DB6EBC"/>
    <w:rsid w:val="00DB76E6"/>
    <w:rsid w:val="00DC3ACD"/>
    <w:rsid w:val="00DD71E6"/>
    <w:rsid w:val="00DF6931"/>
    <w:rsid w:val="00E013C7"/>
    <w:rsid w:val="00E05E9D"/>
    <w:rsid w:val="00E10358"/>
    <w:rsid w:val="00E1085D"/>
    <w:rsid w:val="00E21945"/>
    <w:rsid w:val="00E23154"/>
    <w:rsid w:val="00E242AF"/>
    <w:rsid w:val="00E24E90"/>
    <w:rsid w:val="00E32E6F"/>
    <w:rsid w:val="00E4021B"/>
    <w:rsid w:val="00E441D9"/>
    <w:rsid w:val="00E52915"/>
    <w:rsid w:val="00E52CCC"/>
    <w:rsid w:val="00E57141"/>
    <w:rsid w:val="00E57F47"/>
    <w:rsid w:val="00E62DFD"/>
    <w:rsid w:val="00E72BA7"/>
    <w:rsid w:val="00E75515"/>
    <w:rsid w:val="00E76F19"/>
    <w:rsid w:val="00E80788"/>
    <w:rsid w:val="00E80DA7"/>
    <w:rsid w:val="00E81110"/>
    <w:rsid w:val="00E84CBD"/>
    <w:rsid w:val="00E95C50"/>
    <w:rsid w:val="00EA21F7"/>
    <w:rsid w:val="00EA3C6F"/>
    <w:rsid w:val="00EC2A67"/>
    <w:rsid w:val="00ED44D2"/>
    <w:rsid w:val="00ED572F"/>
    <w:rsid w:val="00ED7D20"/>
    <w:rsid w:val="00EE1CD1"/>
    <w:rsid w:val="00EF3F82"/>
    <w:rsid w:val="00EF795E"/>
    <w:rsid w:val="00F12575"/>
    <w:rsid w:val="00F21CBF"/>
    <w:rsid w:val="00F266EC"/>
    <w:rsid w:val="00F35CA4"/>
    <w:rsid w:val="00F429DB"/>
    <w:rsid w:val="00F525B1"/>
    <w:rsid w:val="00F62187"/>
    <w:rsid w:val="00F62EF9"/>
    <w:rsid w:val="00F71984"/>
    <w:rsid w:val="00F73049"/>
    <w:rsid w:val="00F775A6"/>
    <w:rsid w:val="00F804E0"/>
    <w:rsid w:val="00F81E36"/>
    <w:rsid w:val="00F97850"/>
    <w:rsid w:val="00FA0438"/>
    <w:rsid w:val="00FB3362"/>
    <w:rsid w:val="00FB3932"/>
    <w:rsid w:val="00FB5DBC"/>
    <w:rsid w:val="00FB6E8F"/>
    <w:rsid w:val="00FD1325"/>
    <w:rsid w:val="00FD1AF1"/>
    <w:rsid w:val="00FE5888"/>
    <w:rsid w:val="00FF378C"/>
    <w:rsid w:val="00FF3B49"/>
    <w:rsid w:val="00FF573A"/>
    <w:rsid w:val="00FF6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8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paragraph" w:styleId="Overskrift7">
    <w:name w:val="heading 7"/>
    <w:basedOn w:val="Normal"/>
    <w:next w:val="Normal"/>
    <w:link w:val="Overskrift7Tegn"/>
    <w:uiPriority w:val="9"/>
    <w:unhideWhenUsed/>
    <w:qFormat/>
    <w:rsid w:val="0057116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 w:type="paragraph" w:styleId="Brdtekst">
    <w:name w:val="Body Text"/>
    <w:basedOn w:val="Normal"/>
    <w:link w:val="BrdtekstTegn"/>
    <w:qFormat/>
    <w:rsid w:val="00B46E21"/>
    <w:pPr>
      <w:spacing w:after="160" w:line="240" w:lineRule="auto"/>
    </w:pPr>
    <w:rPr>
      <w:rFonts w:asciiTheme="minorHAnsi" w:eastAsiaTheme="minorEastAsia" w:hAnsiTheme="minorHAnsi" w:cstheme="minorBidi"/>
    </w:rPr>
  </w:style>
  <w:style w:type="character" w:customStyle="1" w:styleId="BrdtekstTegn">
    <w:name w:val="Brødtekst Tegn"/>
    <w:basedOn w:val="Standardskrifttypeiafsnit"/>
    <w:link w:val="Brdtekst"/>
    <w:rsid w:val="00B46E21"/>
    <w:rPr>
      <w:rFonts w:asciiTheme="minorHAnsi" w:eastAsiaTheme="minorEastAsia" w:hAnsiTheme="minorHAnsi" w:cstheme="minorBidi"/>
    </w:rPr>
  </w:style>
  <w:style w:type="character" w:customStyle="1" w:styleId="Overskrift7Tegn">
    <w:name w:val="Overskrift 7 Tegn"/>
    <w:basedOn w:val="Standardskrifttypeiafsnit"/>
    <w:link w:val="Overskrift7"/>
    <w:uiPriority w:val="9"/>
    <w:rsid w:val="0057116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 w:id="70003154">
      <w:bodyDiv w:val="1"/>
      <w:marLeft w:val="0"/>
      <w:marRight w:val="0"/>
      <w:marTop w:val="0"/>
      <w:marBottom w:val="0"/>
      <w:divBdr>
        <w:top w:val="none" w:sz="0" w:space="0" w:color="auto"/>
        <w:left w:val="none" w:sz="0" w:space="0" w:color="auto"/>
        <w:bottom w:val="none" w:sz="0" w:space="0" w:color="auto"/>
        <w:right w:val="none" w:sz="0" w:space="0" w:color="auto"/>
      </w:divBdr>
    </w:div>
    <w:div w:id="166406213">
      <w:bodyDiv w:val="1"/>
      <w:marLeft w:val="0"/>
      <w:marRight w:val="0"/>
      <w:marTop w:val="0"/>
      <w:marBottom w:val="0"/>
      <w:divBdr>
        <w:top w:val="none" w:sz="0" w:space="0" w:color="auto"/>
        <w:left w:val="none" w:sz="0" w:space="0" w:color="auto"/>
        <w:bottom w:val="none" w:sz="0" w:space="0" w:color="auto"/>
        <w:right w:val="none" w:sz="0" w:space="0" w:color="auto"/>
      </w:divBdr>
    </w:div>
    <w:div w:id="1120104123">
      <w:bodyDiv w:val="1"/>
      <w:marLeft w:val="0"/>
      <w:marRight w:val="0"/>
      <w:marTop w:val="0"/>
      <w:marBottom w:val="0"/>
      <w:divBdr>
        <w:top w:val="none" w:sz="0" w:space="0" w:color="auto"/>
        <w:left w:val="none" w:sz="0" w:space="0" w:color="auto"/>
        <w:bottom w:val="none" w:sz="0" w:space="0" w:color="auto"/>
        <w:right w:val="none" w:sz="0" w:space="0" w:color="auto"/>
      </w:divBdr>
    </w:div>
    <w:div w:id="1467315214">
      <w:bodyDiv w:val="1"/>
      <w:marLeft w:val="0"/>
      <w:marRight w:val="0"/>
      <w:marTop w:val="0"/>
      <w:marBottom w:val="0"/>
      <w:divBdr>
        <w:top w:val="none" w:sz="0" w:space="0" w:color="auto"/>
        <w:left w:val="none" w:sz="0" w:space="0" w:color="auto"/>
        <w:bottom w:val="none" w:sz="0" w:space="0" w:color="auto"/>
        <w:right w:val="none" w:sz="0" w:space="0" w:color="auto"/>
      </w:divBdr>
      <w:divsChild>
        <w:div w:id="638804789">
          <w:marLeft w:val="965"/>
          <w:marRight w:val="0"/>
          <w:marTop w:val="213"/>
          <w:marBottom w:val="0"/>
          <w:divBdr>
            <w:top w:val="none" w:sz="0" w:space="0" w:color="auto"/>
            <w:left w:val="none" w:sz="0" w:space="0" w:color="auto"/>
            <w:bottom w:val="none" w:sz="0" w:space="0" w:color="auto"/>
            <w:right w:val="none" w:sz="0" w:space="0" w:color="auto"/>
          </w:divBdr>
        </w:div>
        <w:div w:id="1974405023">
          <w:marLeft w:val="965"/>
          <w:marRight w:val="0"/>
          <w:marTop w:val="213"/>
          <w:marBottom w:val="0"/>
          <w:divBdr>
            <w:top w:val="none" w:sz="0" w:space="0" w:color="auto"/>
            <w:left w:val="none" w:sz="0" w:space="0" w:color="auto"/>
            <w:bottom w:val="none" w:sz="0" w:space="0" w:color="auto"/>
            <w:right w:val="none" w:sz="0" w:space="0" w:color="auto"/>
          </w:divBdr>
        </w:div>
      </w:divsChild>
    </w:div>
    <w:div w:id="1479881848">
      <w:bodyDiv w:val="1"/>
      <w:marLeft w:val="0"/>
      <w:marRight w:val="0"/>
      <w:marTop w:val="0"/>
      <w:marBottom w:val="0"/>
      <w:divBdr>
        <w:top w:val="none" w:sz="0" w:space="0" w:color="auto"/>
        <w:left w:val="none" w:sz="0" w:space="0" w:color="auto"/>
        <w:bottom w:val="none" w:sz="0" w:space="0" w:color="auto"/>
        <w:right w:val="none" w:sz="0" w:space="0" w:color="auto"/>
      </w:divBdr>
    </w:div>
    <w:div w:id="178488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10043</Characters>
  <Application>Microsoft Office Word</Application>
  <DocSecurity>0</DocSecurity>
  <Lines>193</Lines>
  <Paragraphs>93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2019-12-13T11:55:00Z</dcterms:created>
  <dcterms:modified xsi:type="dcterms:W3CDTF">2020-01-06T14:55:00Z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