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0E2B1" w14:textId="77777777" w:rsidR="007B6E2E" w:rsidRDefault="007B6E2E"/>
    <w:p w14:paraId="7CA55665" w14:textId="77777777" w:rsidR="007B6E2E" w:rsidRDefault="007B6E2E"/>
    <w:p w14:paraId="6DF06670" w14:textId="77777777" w:rsidR="007B6E2E" w:rsidRDefault="007B6E2E"/>
    <w:p w14:paraId="3A96B95E" w14:textId="77777777" w:rsidR="007B6E2E" w:rsidRDefault="00E80DA7">
      <w:pPr>
        <w:pStyle w:val="Overskrift1"/>
        <w:keepNext w:val="0"/>
        <w:keepLines w:val="0"/>
        <w:spacing w:before="480"/>
        <w:rPr>
          <w:b/>
          <w:i/>
          <w:sz w:val="46"/>
          <w:szCs w:val="46"/>
        </w:rPr>
      </w:pPr>
      <w:bookmarkStart w:id="0" w:name="_gjdgxs" w:colFirst="0" w:colLast="0"/>
      <w:bookmarkStart w:id="1" w:name="_Toc24117850"/>
      <w:bookmarkEnd w:id="0"/>
      <w:r>
        <w:rPr>
          <w:b/>
          <w:i/>
          <w:sz w:val="46"/>
          <w:szCs w:val="46"/>
        </w:rPr>
        <w:t>Styregruppen for data og arkitektur</w:t>
      </w:r>
      <w:bookmarkEnd w:id="1"/>
    </w:p>
    <w:p w14:paraId="43522D88" w14:textId="47F72835" w:rsidR="007B6E2E" w:rsidRDefault="00E80DA7">
      <w:pPr>
        <w:pStyle w:val="Overskrift1"/>
        <w:keepNext w:val="0"/>
        <w:keepLines w:val="0"/>
        <w:spacing w:before="480"/>
        <w:rPr>
          <w:b/>
          <w:sz w:val="46"/>
          <w:szCs w:val="46"/>
        </w:rPr>
      </w:pPr>
      <w:bookmarkStart w:id="2" w:name="_30j0zll" w:colFirst="0" w:colLast="0"/>
      <w:bookmarkStart w:id="3" w:name="_Toc24117851"/>
      <w:bookmarkEnd w:id="2"/>
      <w:r>
        <w:rPr>
          <w:b/>
          <w:sz w:val="46"/>
          <w:szCs w:val="46"/>
        </w:rPr>
        <w:t xml:space="preserve">Reviewrapport for: </w:t>
      </w:r>
      <w:r>
        <w:rPr>
          <w:b/>
          <w:sz w:val="46"/>
          <w:szCs w:val="46"/>
        </w:rPr>
        <w:br/>
      </w:r>
      <w:bookmarkEnd w:id="3"/>
      <w:r w:rsidR="007F7E57">
        <w:rPr>
          <w:b/>
          <w:sz w:val="46"/>
          <w:szCs w:val="46"/>
        </w:rPr>
        <w:t>Orkestreringskomponent</w:t>
      </w:r>
      <w:r w:rsidR="00705B59">
        <w:rPr>
          <w:b/>
          <w:sz w:val="46"/>
          <w:szCs w:val="46"/>
        </w:rPr>
        <w:t>erne til Borger.dk og Virk.dk</w:t>
      </w:r>
    </w:p>
    <w:p w14:paraId="42A980D7" w14:textId="77777777" w:rsidR="007B6E2E" w:rsidRDefault="007B6E2E"/>
    <w:p w14:paraId="7BC0880D" w14:textId="0D001058" w:rsidR="007B6E2E" w:rsidRDefault="007F7E57">
      <w:r>
        <w:t>15</w:t>
      </w:r>
      <w:r w:rsidR="00E80DA7">
        <w:t xml:space="preserve">. </w:t>
      </w:r>
      <w:r w:rsidR="000408BB">
        <w:t>november</w:t>
      </w:r>
      <w:r w:rsidR="00D0758E">
        <w:t xml:space="preserve"> 2019</w:t>
      </w:r>
    </w:p>
    <w:p w14:paraId="243053A9" w14:textId="77777777" w:rsidR="007B6E2E" w:rsidRDefault="007B6E2E"/>
    <w:p w14:paraId="6D063476" w14:textId="77777777" w:rsidR="007B6E2E" w:rsidRDefault="007B6E2E"/>
    <w:p w14:paraId="22178A4E" w14:textId="77777777" w:rsidR="007B6E2E" w:rsidRDefault="007B6E2E"/>
    <w:p w14:paraId="7C219A7D" w14:textId="77777777" w:rsidR="007B6E2E" w:rsidRDefault="00E80DA7">
      <w:pPr>
        <w:keepNext/>
        <w:keepLines/>
        <w:pBdr>
          <w:top w:val="nil"/>
          <w:left w:val="nil"/>
          <w:bottom w:val="nil"/>
          <w:right w:val="nil"/>
          <w:between w:val="nil"/>
        </w:pBdr>
        <w:spacing w:before="480" w:after="0" w:line="264" w:lineRule="auto"/>
        <w:rPr>
          <w:rFonts w:ascii="Cambria" w:eastAsia="Cambria" w:hAnsi="Cambria" w:cs="Cambria"/>
          <w:b/>
          <w:color w:val="1F497D"/>
          <w:sz w:val="32"/>
          <w:szCs w:val="32"/>
        </w:rPr>
      </w:pPr>
      <w:r>
        <w:rPr>
          <w:rFonts w:ascii="Cambria" w:eastAsia="Cambria" w:hAnsi="Cambria" w:cs="Cambria"/>
          <w:b/>
          <w:color w:val="1F497D"/>
          <w:sz w:val="32"/>
          <w:szCs w:val="32"/>
        </w:rPr>
        <w:t>Indhold</w:t>
      </w:r>
    </w:p>
    <w:sdt>
      <w:sdtPr>
        <w:id w:val="-1836066097"/>
        <w:docPartObj>
          <w:docPartGallery w:val="Table of Contents"/>
          <w:docPartUnique/>
        </w:docPartObj>
      </w:sdtPr>
      <w:sdtEndPr/>
      <w:sdtContent>
        <w:p w14:paraId="63D22F69" w14:textId="3E99418C" w:rsidR="00B32C34" w:rsidRDefault="00E80DA7">
          <w:pPr>
            <w:pStyle w:val="Indholdsfortegnelse1"/>
            <w:tabs>
              <w:tab w:val="right" w:pos="9019"/>
            </w:tabs>
            <w:rPr>
              <w:rFonts w:asciiTheme="minorHAnsi" w:eastAsiaTheme="minorEastAsia" w:hAnsiTheme="minorHAnsi" w:cstheme="minorBidi"/>
              <w:noProof/>
            </w:rPr>
          </w:pPr>
          <w:r>
            <w:fldChar w:fldCharType="begin"/>
          </w:r>
          <w:r>
            <w:instrText xml:space="preserve"> TOC \h \u \z </w:instrText>
          </w:r>
          <w:r>
            <w:fldChar w:fldCharType="separate"/>
          </w:r>
          <w:hyperlink w:anchor="_Toc24117850" w:history="1">
            <w:r w:rsidR="00B32C34" w:rsidRPr="00060BC6">
              <w:rPr>
                <w:rStyle w:val="Hyperlink"/>
                <w:b/>
                <w:i/>
                <w:noProof/>
              </w:rPr>
              <w:t>Styregruppen for data og arkitektur</w:t>
            </w:r>
            <w:r w:rsidR="00B32C34">
              <w:rPr>
                <w:noProof/>
                <w:webHidden/>
              </w:rPr>
              <w:tab/>
            </w:r>
            <w:r w:rsidR="00B32C34">
              <w:rPr>
                <w:noProof/>
                <w:webHidden/>
              </w:rPr>
              <w:fldChar w:fldCharType="begin"/>
            </w:r>
            <w:r w:rsidR="00B32C34">
              <w:rPr>
                <w:noProof/>
                <w:webHidden/>
              </w:rPr>
              <w:instrText xml:space="preserve"> PAGEREF _Toc24117850 \h </w:instrText>
            </w:r>
            <w:r w:rsidR="00B32C34">
              <w:rPr>
                <w:noProof/>
                <w:webHidden/>
              </w:rPr>
            </w:r>
            <w:r w:rsidR="00B32C34">
              <w:rPr>
                <w:noProof/>
                <w:webHidden/>
              </w:rPr>
              <w:fldChar w:fldCharType="separate"/>
            </w:r>
            <w:r w:rsidR="00B32C34">
              <w:rPr>
                <w:noProof/>
                <w:webHidden/>
              </w:rPr>
              <w:t>1</w:t>
            </w:r>
            <w:r w:rsidR="00B32C34">
              <w:rPr>
                <w:noProof/>
                <w:webHidden/>
              </w:rPr>
              <w:fldChar w:fldCharType="end"/>
            </w:r>
          </w:hyperlink>
        </w:p>
        <w:p w14:paraId="1171B07B" w14:textId="4C668D07" w:rsidR="00B32C34" w:rsidRDefault="00F525B1">
          <w:pPr>
            <w:pStyle w:val="Indholdsfortegnelse1"/>
            <w:tabs>
              <w:tab w:val="right" w:pos="9019"/>
            </w:tabs>
            <w:rPr>
              <w:rFonts w:asciiTheme="minorHAnsi" w:eastAsiaTheme="minorEastAsia" w:hAnsiTheme="minorHAnsi" w:cstheme="minorBidi"/>
              <w:noProof/>
            </w:rPr>
          </w:pPr>
          <w:hyperlink w:anchor="_Toc24117851" w:history="1">
            <w:r w:rsidR="00B32C34" w:rsidRPr="00060BC6">
              <w:rPr>
                <w:rStyle w:val="Hyperlink"/>
                <w:b/>
                <w:noProof/>
              </w:rPr>
              <w:t>Reviewrapport for:  Referencearkitektur for digitalt overblik</w:t>
            </w:r>
            <w:r w:rsidR="00B32C34">
              <w:rPr>
                <w:noProof/>
                <w:webHidden/>
              </w:rPr>
              <w:tab/>
            </w:r>
            <w:r w:rsidR="00B32C34">
              <w:rPr>
                <w:noProof/>
                <w:webHidden/>
              </w:rPr>
              <w:fldChar w:fldCharType="begin"/>
            </w:r>
            <w:r w:rsidR="00B32C34">
              <w:rPr>
                <w:noProof/>
                <w:webHidden/>
              </w:rPr>
              <w:instrText xml:space="preserve"> PAGEREF _Toc24117851 \h </w:instrText>
            </w:r>
            <w:r w:rsidR="00B32C34">
              <w:rPr>
                <w:noProof/>
                <w:webHidden/>
              </w:rPr>
            </w:r>
            <w:r w:rsidR="00B32C34">
              <w:rPr>
                <w:noProof/>
                <w:webHidden/>
              </w:rPr>
              <w:fldChar w:fldCharType="separate"/>
            </w:r>
            <w:r w:rsidR="00B32C34">
              <w:rPr>
                <w:noProof/>
                <w:webHidden/>
              </w:rPr>
              <w:t>1</w:t>
            </w:r>
            <w:r w:rsidR="00B32C34">
              <w:rPr>
                <w:noProof/>
                <w:webHidden/>
              </w:rPr>
              <w:fldChar w:fldCharType="end"/>
            </w:r>
          </w:hyperlink>
        </w:p>
        <w:p w14:paraId="518C1049" w14:textId="7C81EEC3" w:rsidR="00B32C34" w:rsidRDefault="00F525B1">
          <w:pPr>
            <w:pStyle w:val="Indholdsfortegnelse1"/>
            <w:tabs>
              <w:tab w:val="right" w:pos="9019"/>
            </w:tabs>
            <w:rPr>
              <w:rFonts w:asciiTheme="minorHAnsi" w:eastAsiaTheme="minorEastAsia" w:hAnsiTheme="minorHAnsi" w:cstheme="minorBidi"/>
              <w:noProof/>
            </w:rPr>
          </w:pPr>
          <w:hyperlink w:anchor="_Toc24117852" w:history="1">
            <w:r w:rsidR="00B32C34" w:rsidRPr="00060BC6">
              <w:rPr>
                <w:rStyle w:val="Hyperlink"/>
                <w:noProof/>
              </w:rPr>
              <w:t>Referencearkitektur for digitalt overblik</w:t>
            </w:r>
            <w:r w:rsidR="00B32C34">
              <w:rPr>
                <w:noProof/>
                <w:webHidden/>
              </w:rPr>
              <w:tab/>
            </w:r>
            <w:r w:rsidR="00B32C34">
              <w:rPr>
                <w:noProof/>
                <w:webHidden/>
              </w:rPr>
              <w:fldChar w:fldCharType="begin"/>
            </w:r>
            <w:r w:rsidR="00B32C34">
              <w:rPr>
                <w:noProof/>
                <w:webHidden/>
              </w:rPr>
              <w:instrText xml:space="preserve"> PAGEREF _Toc24117852 \h </w:instrText>
            </w:r>
            <w:r w:rsidR="00B32C34">
              <w:rPr>
                <w:noProof/>
                <w:webHidden/>
              </w:rPr>
            </w:r>
            <w:r w:rsidR="00B32C34">
              <w:rPr>
                <w:noProof/>
                <w:webHidden/>
              </w:rPr>
              <w:fldChar w:fldCharType="separate"/>
            </w:r>
            <w:r w:rsidR="00B32C34">
              <w:rPr>
                <w:noProof/>
                <w:webHidden/>
              </w:rPr>
              <w:t>2</w:t>
            </w:r>
            <w:r w:rsidR="00B32C34">
              <w:rPr>
                <w:noProof/>
                <w:webHidden/>
              </w:rPr>
              <w:fldChar w:fldCharType="end"/>
            </w:r>
          </w:hyperlink>
        </w:p>
        <w:p w14:paraId="0559A3CE" w14:textId="484F0C0B" w:rsidR="00B32C34" w:rsidRDefault="00F525B1">
          <w:pPr>
            <w:pStyle w:val="Indholdsfortegnelse1"/>
            <w:tabs>
              <w:tab w:val="right" w:pos="9019"/>
            </w:tabs>
            <w:rPr>
              <w:rFonts w:asciiTheme="minorHAnsi" w:eastAsiaTheme="minorEastAsia" w:hAnsiTheme="minorHAnsi" w:cstheme="minorBidi"/>
              <w:noProof/>
            </w:rPr>
          </w:pPr>
          <w:hyperlink w:anchor="_Toc24117853" w:history="1">
            <w:r w:rsidR="00B32C34" w:rsidRPr="00060BC6">
              <w:rPr>
                <w:rStyle w:val="Hyperlink"/>
                <w:noProof/>
              </w:rPr>
              <w:t>Projektresume</w:t>
            </w:r>
            <w:r w:rsidR="00B32C34">
              <w:rPr>
                <w:noProof/>
                <w:webHidden/>
              </w:rPr>
              <w:tab/>
            </w:r>
            <w:r w:rsidR="00B32C34">
              <w:rPr>
                <w:noProof/>
                <w:webHidden/>
              </w:rPr>
              <w:fldChar w:fldCharType="begin"/>
            </w:r>
            <w:r w:rsidR="00B32C34">
              <w:rPr>
                <w:noProof/>
                <w:webHidden/>
              </w:rPr>
              <w:instrText xml:space="preserve"> PAGEREF _Toc24117853 \h </w:instrText>
            </w:r>
            <w:r w:rsidR="00B32C34">
              <w:rPr>
                <w:noProof/>
                <w:webHidden/>
              </w:rPr>
            </w:r>
            <w:r w:rsidR="00B32C34">
              <w:rPr>
                <w:noProof/>
                <w:webHidden/>
              </w:rPr>
              <w:fldChar w:fldCharType="separate"/>
            </w:r>
            <w:r w:rsidR="00B32C34">
              <w:rPr>
                <w:noProof/>
                <w:webHidden/>
              </w:rPr>
              <w:t>2</w:t>
            </w:r>
            <w:r w:rsidR="00B32C34">
              <w:rPr>
                <w:noProof/>
                <w:webHidden/>
              </w:rPr>
              <w:fldChar w:fldCharType="end"/>
            </w:r>
          </w:hyperlink>
        </w:p>
        <w:p w14:paraId="5AEDBCCC" w14:textId="142885EC" w:rsidR="00B32C34" w:rsidRDefault="00F525B1">
          <w:pPr>
            <w:pStyle w:val="Indholdsfortegnelse1"/>
            <w:tabs>
              <w:tab w:val="right" w:pos="9019"/>
            </w:tabs>
            <w:rPr>
              <w:rFonts w:asciiTheme="minorHAnsi" w:eastAsiaTheme="minorEastAsia" w:hAnsiTheme="minorHAnsi" w:cstheme="minorBidi"/>
              <w:noProof/>
            </w:rPr>
          </w:pPr>
          <w:hyperlink w:anchor="_Toc24117854" w:history="1">
            <w:r w:rsidR="00B32C34" w:rsidRPr="00060BC6">
              <w:rPr>
                <w:rStyle w:val="Hyperlink"/>
                <w:noProof/>
              </w:rPr>
              <w:t>Anbefalinger</w:t>
            </w:r>
            <w:r w:rsidR="00B32C34">
              <w:rPr>
                <w:noProof/>
                <w:webHidden/>
              </w:rPr>
              <w:tab/>
            </w:r>
            <w:r w:rsidR="00B32C34">
              <w:rPr>
                <w:noProof/>
                <w:webHidden/>
              </w:rPr>
              <w:fldChar w:fldCharType="begin"/>
            </w:r>
            <w:r w:rsidR="00B32C34">
              <w:rPr>
                <w:noProof/>
                <w:webHidden/>
              </w:rPr>
              <w:instrText xml:space="preserve"> PAGEREF _Toc24117854 \h </w:instrText>
            </w:r>
            <w:r w:rsidR="00B32C34">
              <w:rPr>
                <w:noProof/>
                <w:webHidden/>
              </w:rPr>
            </w:r>
            <w:r w:rsidR="00B32C34">
              <w:rPr>
                <w:noProof/>
                <w:webHidden/>
              </w:rPr>
              <w:fldChar w:fldCharType="separate"/>
            </w:r>
            <w:r w:rsidR="00B32C34">
              <w:rPr>
                <w:noProof/>
                <w:webHidden/>
              </w:rPr>
              <w:t>3</w:t>
            </w:r>
            <w:r w:rsidR="00B32C34">
              <w:rPr>
                <w:noProof/>
                <w:webHidden/>
              </w:rPr>
              <w:fldChar w:fldCharType="end"/>
            </w:r>
          </w:hyperlink>
        </w:p>
        <w:p w14:paraId="6D70C954" w14:textId="00D03BF7" w:rsidR="00B32C34" w:rsidRDefault="00F525B1">
          <w:pPr>
            <w:pStyle w:val="Indholdsfortegnelse2"/>
            <w:tabs>
              <w:tab w:val="right" w:pos="9019"/>
            </w:tabs>
            <w:rPr>
              <w:rFonts w:asciiTheme="minorHAnsi" w:eastAsiaTheme="minorEastAsia" w:hAnsiTheme="minorHAnsi" w:cstheme="minorBidi"/>
              <w:noProof/>
            </w:rPr>
          </w:pPr>
          <w:hyperlink w:anchor="_Toc24117855" w:history="1">
            <w:r w:rsidR="00B32C34" w:rsidRPr="00060BC6">
              <w:rPr>
                <w:rStyle w:val="Hyperlink"/>
                <w:noProof/>
              </w:rPr>
              <w:t>Anbefalinger til det nuværende projekt</w:t>
            </w:r>
            <w:r w:rsidR="00B32C34">
              <w:rPr>
                <w:noProof/>
                <w:webHidden/>
              </w:rPr>
              <w:tab/>
            </w:r>
            <w:r w:rsidR="00B32C34">
              <w:rPr>
                <w:noProof/>
                <w:webHidden/>
              </w:rPr>
              <w:fldChar w:fldCharType="begin"/>
            </w:r>
            <w:r w:rsidR="00B32C34">
              <w:rPr>
                <w:noProof/>
                <w:webHidden/>
              </w:rPr>
              <w:instrText xml:space="preserve"> PAGEREF _Toc24117855 \h </w:instrText>
            </w:r>
            <w:r w:rsidR="00B32C34">
              <w:rPr>
                <w:noProof/>
                <w:webHidden/>
              </w:rPr>
            </w:r>
            <w:r w:rsidR="00B32C34">
              <w:rPr>
                <w:noProof/>
                <w:webHidden/>
              </w:rPr>
              <w:fldChar w:fldCharType="separate"/>
            </w:r>
            <w:r w:rsidR="00B32C34">
              <w:rPr>
                <w:noProof/>
                <w:webHidden/>
              </w:rPr>
              <w:t>3</w:t>
            </w:r>
            <w:r w:rsidR="00B32C34">
              <w:rPr>
                <w:noProof/>
                <w:webHidden/>
              </w:rPr>
              <w:fldChar w:fldCharType="end"/>
            </w:r>
          </w:hyperlink>
        </w:p>
        <w:p w14:paraId="1AE898F3" w14:textId="4D1A6D41" w:rsidR="00B32C34" w:rsidRDefault="00F525B1">
          <w:pPr>
            <w:pStyle w:val="Indholdsfortegnelse2"/>
            <w:tabs>
              <w:tab w:val="right" w:pos="9019"/>
            </w:tabs>
            <w:rPr>
              <w:rFonts w:asciiTheme="minorHAnsi" w:eastAsiaTheme="minorEastAsia" w:hAnsiTheme="minorHAnsi" w:cstheme="minorBidi"/>
              <w:noProof/>
            </w:rPr>
          </w:pPr>
          <w:hyperlink w:anchor="_Toc24117856" w:history="1">
            <w:r w:rsidR="00B32C34" w:rsidRPr="00060BC6">
              <w:rPr>
                <w:rStyle w:val="Hyperlink"/>
                <w:noProof/>
              </w:rPr>
              <w:t>Tværgående Anbefalinger</w:t>
            </w:r>
            <w:r w:rsidR="00B32C34">
              <w:rPr>
                <w:noProof/>
                <w:webHidden/>
              </w:rPr>
              <w:tab/>
            </w:r>
            <w:r w:rsidR="00B32C34">
              <w:rPr>
                <w:noProof/>
                <w:webHidden/>
              </w:rPr>
              <w:fldChar w:fldCharType="begin"/>
            </w:r>
            <w:r w:rsidR="00B32C34">
              <w:rPr>
                <w:noProof/>
                <w:webHidden/>
              </w:rPr>
              <w:instrText xml:space="preserve"> PAGEREF _Toc24117856 \h </w:instrText>
            </w:r>
            <w:r w:rsidR="00B32C34">
              <w:rPr>
                <w:noProof/>
                <w:webHidden/>
              </w:rPr>
            </w:r>
            <w:r w:rsidR="00B32C34">
              <w:rPr>
                <w:noProof/>
                <w:webHidden/>
              </w:rPr>
              <w:fldChar w:fldCharType="separate"/>
            </w:r>
            <w:r w:rsidR="00B32C34">
              <w:rPr>
                <w:noProof/>
                <w:webHidden/>
              </w:rPr>
              <w:t>5</w:t>
            </w:r>
            <w:r w:rsidR="00B32C34">
              <w:rPr>
                <w:noProof/>
                <w:webHidden/>
              </w:rPr>
              <w:fldChar w:fldCharType="end"/>
            </w:r>
          </w:hyperlink>
        </w:p>
        <w:p w14:paraId="37A8ACBF" w14:textId="79F5BFF6" w:rsidR="007B6E2E" w:rsidRDefault="00E80DA7">
          <w:pPr>
            <w:tabs>
              <w:tab w:val="right" w:pos="9025"/>
            </w:tabs>
            <w:spacing w:before="60" w:after="80" w:line="240" w:lineRule="auto"/>
            <w:ind w:left="360"/>
          </w:pPr>
          <w:r>
            <w:fldChar w:fldCharType="end"/>
          </w:r>
        </w:p>
      </w:sdtContent>
    </w:sdt>
    <w:p w14:paraId="5CF7F84C" w14:textId="77777777" w:rsidR="007B6E2E" w:rsidRDefault="007B6E2E"/>
    <w:p w14:paraId="2FFD5E71" w14:textId="77777777" w:rsidR="007B6E2E" w:rsidRDefault="007B6E2E"/>
    <w:p w14:paraId="261CDEEF" w14:textId="77777777" w:rsidR="007B6E2E" w:rsidRDefault="007B6E2E"/>
    <w:p w14:paraId="3CA12E0C" w14:textId="77777777" w:rsidR="007B6E2E" w:rsidRDefault="00E80DA7">
      <w:bookmarkStart w:id="4" w:name="_1fob9te" w:colFirst="0" w:colLast="0"/>
      <w:bookmarkEnd w:id="4"/>
      <w:r>
        <w:br w:type="page"/>
      </w:r>
    </w:p>
    <w:p w14:paraId="0E70572E" w14:textId="0CAFADDC" w:rsidR="007B6E2E" w:rsidRDefault="007F7E57">
      <w:pPr>
        <w:pStyle w:val="Overskrift1"/>
        <w:keepNext w:val="0"/>
        <w:keepLines w:val="0"/>
        <w:spacing w:after="80"/>
      </w:pPr>
      <w:bookmarkStart w:id="5" w:name="_3znysh7" w:colFirst="0" w:colLast="0"/>
      <w:bookmarkEnd w:id="5"/>
      <w:r>
        <w:lastRenderedPageBreak/>
        <w:t>Orkestreringskomponente</w:t>
      </w:r>
      <w:r w:rsidR="00705B59">
        <w:t>rne til Borger.dk og Virk.dk</w:t>
      </w:r>
    </w:p>
    <w:p w14:paraId="0CBDE13F" w14:textId="4AAD928F" w:rsidR="00220BAE" w:rsidRDefault="00E80DA7" w:rsidP="007F7E57">
      <w:r>
        <w:t xml:space="preserve">Reviewet af </w:t>
      </w:r>
      <w:r w:rsidR="007F7E57">
        <w:t>Orkestreringskomponente</w:t>
      </w:r>
      <w:r w:rsidR="00705B59">
        <w:t>rne for Borger.dk og Virk.dk</w:t>
      </w:r>
      <w:r w:rsidR="006D004C">
        <w:t xml:space="preserve"> er udført </w:t>
      </w:r>
      <w:r w:rsidR="007F7E57">
        <w:t>04</w:t>
      </w:r>
      <w:r>
        <w:t xml:space="preserve">. </w:t>
      </w:r>
      <w:r w:rsidR="007F7E57">
        <w:t>november</w:t>
      </w:r>
      <w:r w:rsidR="00F804E0">
        <w:t xml:space="preserve"> til </w:t>
      </w:r>
      <w:r w:rsidR="007F7E57">
        <w:t>15</w:t>
      </w:r>
      <w:r>
        <w:t xml:space="preserve">. </w:t>
      </w:r>
      <w:r w:rsidR="00025A57">
        <w:t>november</w:t>
      </w:r>
      <w:r w:rsidR="00D0758E">
        <w:t xml:space="preserve"> 2019</w:t>
      </w:r>
      <w:r>
        <w:t xml:space="preserve"> på baggrund af projektets fremsendte materialer:</w:t>
      </w:r>
    </w:p>
    <w:p w14:paraId="6B76E302" w14:textId="1BC6EE2E" w:rsidR="007B6E2E" w:rsidRDefault="008F6B50">
      <w:pPr>
        <w:numPr>
          <w:ilvl w:val="0"/>
          <w:numId w:val="2"/>
        </w:numPr>
        <w:ind w:left="405"/>
        <w:contextualSpacing/>
      </w:pPr>
      <w:r>
        <w:t xml:space="preserve">Projektgrundlag v </w:t>
      </w:r>
      <w:proofErr w:type="gramStart"/>
      <w:r>
        <w:t>1,0.docx</w:t>
      </w:r>
      <w:proofErr w:type="gramEnd"/>
    </w:p>
    <w:p w14:paraId="4AEFBB9D" w14:textId="484F0D88" w:rsidR="00220BAE" w:rsidRDefault="008F6B50">
      <w:pPr>
        <w:numPr>
          <w:ilvl w:val="0"/>
          <w:numId w:val="2"/>
        </w:numPr>
        <w:ind w:left="405"/>
        <w:contextualSpacing/>
      </w:pPr>
      <w:r>
        <w:t>Mit overblik – orkestreringskomponent – arkitekturreview.pptx</w:t>
      </w:r>
    </w:p>
    <w:p w14:paraId="04EA4901" w14:textId="21229F89" w:rsidR="007F7E57" w:rsidRDefault="008F6B50" w:rsidP="00292B97">
      <w:pPr>
        <w:numPr>
          <w:ilvl w:val="0"/>
          <w:numId w:val="2"/>
        </w:numPr>
        <w:ind w:left="405"/>
        <w:contextualSpacing/>
      </w:pPr>
      <w:r>
        <w:t>Mit Overblik – orkestreringskomponent – arkitekturreview (KL ny – red tlw).pptx</w:t>
      </w:r>
    </w:p>
    <w:p w14:paraId="69FD417C" w14:textId="150CA500" w:rsidR="00220BAE" w:rsidRPr="00292B97" w:rsidRDefault="007F7E57" w:rsidP="00292B97">
      <w:pPr>
        <w:numPr>
          <w:ilvl w:val="0"/>
          <w:numId w:val="2"/>
        </w:numPr>
        <w:ind w:left="405"/>
        <w:contextualSpacing/>
      </w:pPr>
      <w:r>
        <w:t>Bilag a - Referencearkitektur for digitalt overblik v0.9.7, Version til fællesoffentligt arkitekturreview.docx</w:t>
      </w:r>
    </w:p>
    <w:p w14:paraId="33C62EE1" w14:textId="2AFF67AF" w:rsidR="007B6E2E" w:rsidRDefault="007F7E57" w:rsidP="00220BAE">
      <w:pPr>
        <w:ind w:left="45"/>
        <w:contextualSpacing/>
      </w:pPr>
      <w:r>
        <w:br/>
      </w:r>
      <w:r w:rsidR="00E80DA7">
        <w:t>Reviewet er udført i overensstemmelse med retningslinjer for arkitekturreviews, godkendt af styregruppen for data</w:t>
      </w:r>
      <w:r w:rsidR="006E21E5">
        <w:t xml:space="preserve"> og arkitektur maj 2017. </w:t>
      </w:r>
      <w:r w:rsidR="00D9465E">
        <w:t>Udgangspunktet for reviewet udgøres af hvidbog om fællesoffe</w:t>
      </w:r>
      <w:r w:rsidR="00D9465E" w:rsidRPr="00276B1D">
        <w:t>ntlig digital arkitektur.</w:t>
      </w:r>
      <w:r w:rsidR="004D0A05" w:rsidRPr="00276B1D">
        <w:t xml:space="preserve"> Det er</w:t>
      </w:r>
      <w:r w:rsidR="00276B1D" w:rsidRPr="00276B1D">
        <w:t xml:space="preserve"> i bilag 1</w:t>
      </w:r>
      <w:r w:rsidR="004D0A05" w:rsidRPr="00276B1D">
        <w:t xml:space="preserve"> udarbejdet en </w:t>
      </w:r>
      <w:r w:rsidR="00276B1D" w:rsidRPr="00276B1D">
        <w:t>kortlægning</w:t>
      </w:r>
      <w:r w:rsidR="004D0A05" w:rsidRPr="00276B1D">
        <w:t xml:space="preserve"> af hv</w:t>
      </w:r>
      <w:r w:rsidR="00276B1D" w:rsidRPr="00276B1D">
        <w:t>ilke arkitekturregler</w:t>
      </w:r>
      <w:r w:rsidR="004D0A05" w:rsidRPr="00276B1D">
        <w:t xml:space="preserve"> </w:t>
      </w:r>
      <w:r w:rsidR="00276B1D" w:rsidRPr="00276B1D">
        <w:t xml:space="preserve">der har motiveret de givne anbefalinger til </w:t>
      </w:r>
      <w:r w:rsidR="004D0A05" w:rsidRPr="00276B1D">
        <w:t>projektet</w:t>
      </w:r>
      <w:r w:rsidR="00276B1D" w:rsidRPr="00276B1D">
        <w:t>,</w:t>
      </w:r>
      <w:r w:rsidR="004D0A05" w:rsidRPr="00276B1D">
        <w:t xml:space="preserve"> </w:t>
      </w:r>
      <w:r w:rsidR="00276B1D" w:rsidRPr="00276B1D">
        <w:t>og som med fordel kan læses for at understøtte overensstemmelse med</w:t>
      </w:r>
      <w:r w:rsidR="004D0A05" w:rsidRPr="00276B1D">
        <w:t xml:space="preserve"> hvidbogens principper.</w:t>
      </w:r>
      <w:r w:rsidR="00D9465E" w:rsidRPr="00276B1D">
        <w:t xml:space="preserve"> </w:t>
      </w:r>
      <w:r w:rsidR="006E21E5" w:rsidRPr="00276B1D">
        <w:t>Review</w:t>
      </w:r>
      <w:r w:rsidR="00E80DA7" w:rsidRPr="00276B1D">
        <w:t>boardet</w:t>
      </w:r>
      <w:r w:rsidR="00E80DA7">
        <w:t xml:space="preserve"> og deltagere er listet i nedenstående tabel: </w:t>
      </w:r>
    </w:p>
    <w:p w14:paraId="550138BE" w14:textId="77777777" w:rsidR="00E84CBD" w:rsidRDefault="00E84CBD" w:rsidP="00220BAE">
      <w:pPr>
        <w:ind w:left="45"/>
        <w:contextualSpacing/>
      </w:pPr>
    </w:p>
    <w:tbl>
      <w:tblPr>
        <w:tblStyle w:val="a"/>
        <w:tblW w:w="9151" w:type="dxa"/>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600" w:firstRow="0" w:lastRow="0" w:firstColumn="0" w:lastColumn="0" w:noHBand="1" w:noVBand="1"/>
      </w:tblPr>
      <w:tblGrid>
        <w:gridCol w:w="2137"/>
        <w:gridCol w:w="3682"/>
        <w:gridCol w:w="3332"/>
      </w:tblGrid>
      <w:tr w:rsidR="00E52915" w14:paraId="0645B778" w14:textId="77777777" w:rsidTr="0039423C">
        <w:tc>
          <w:tcPr>
            <w:tcW w:w="2137" w:type="dxa"/>
            <w:shd w:val="clear" w:color="auto" w:fill="DBE5F1"/>
          </w:tcPr>
          <w:p w14:paraId="2AEAA40C" w14:textId="77777777" w:rsidR="00E52915" w:rsidRDefault="00E52915">
            <w:pPr>
              <w:ind w:left="100"/>
              <w:rPr>
                <w:b/>
                <w:color w:val="000000"/>
                <w:sz w:val="18"/>
                <w:szCs w:val="18"/>
              </w:rPr>
            </w:pPr>
            <w:r>
              <w:rPr>
                <w:b/>
                <w:sz w:val="18"/>
                <w:szCs w:val="18"/>
              </w:rPr>
              <w:t>Reviewboard:</w:t>
            </w:r>
          </w:p>
        </w:tc>
        <w:tc>
          <w:tcPr>
            <w:tcW w:w="3682" w:type="dxa"/>
            <w:shd w:val="clear" w:color="auto" w:fill="DBE5F1"/>
          </w:tcPr>
          <w:p w14:paraId="06A41DBB" w14:textId="69B5BE12" w:rsidR="00E52915" w:rsidRDefault="000408BB" w:rsidP="00E52915">
            <w:pPr>
              <w:ind w:right="-45"/>
              <w:rPr>
                <w:sz w:val="18"/>
                <w:szCs w:val="18"/>
              </w:rPr>
            </w:pPr>
            <w:r>
              <w:rPr>
                <w:sz w:val="18"/>
                <w:szCs w:val="18"/>
              </w:rPr>
              <w:t>Thomas Jensen</w:t>
            </w:r>
            <w:r w:rsidR="00E52915">
              <w:rPr>
                <w:sz w:val="18"/>
                <w:szCs w:val="18"/>
              </w:rPr>
              <w:t xml:space="preserve">, </w:t>
            </w:r>
            <w:r w:rsidR="0039423C">
              <w:rPr>
                <w:sz w:val="18"/>
                <w:szCs w:val="18"/>
              </w:rPr>
              <w:t>Arkitekt</w:t>
            </w:r>
          </w:p>
        </w:tc>
        <w:tc>
          <w:tcPr>
            <w:tcW w:w="3332" w:type="dxa"/>
            <w:shd w:val="clear" w:color="auto" w:fill="DBE5F1"/>
          </w:tcPr>
          <w:p w14:paraId="61153957" w14:textId="38F2A312" w:rsidR="00E52915" w:rsidRDefault="000408BB" w:rsidP="00292B97">
            <w:pPr>
              <w:ind w:right="-45"/>
              <w:rPr>
                <w:sz w:val="18"/>
                <w:szCs w:val="18"/>
              </w:rPr>
            </w:pPr>
            <w:r>
              <w:rPr>
                <w:sz w:val="18"/>
                <w:szCs w:val="18"/>
              </w:rPr>
              <w:t>MST</w:t>
            </w:r>
          </w:p>
        </w:tc>
      </w:tr>
      <w:tr w:rsidR="00E52915" w14:paraId="6ED7ECAE" w14:textId="77777777" w:rsidTr="0039423C">
        <w:tc>
          <w:tcPr>
            <w:tcW w:w="2137" w:type="dxa"/>
            <w:shd w:val="clear" w:color="auto" w:fill="DBE5F1"/>
          </w:tcPr>
          <w:p w14:paraId="3B9C298C" w14:textId="77777777" w:rsidR="00E52915" w:rsidRDefault="00E52915">
            <w:pPr>
              <w:ind w:left="100"/>
              <w:rPr>
                <w:b/>
                <w:sz w:val="18"/>
                <w:szCs w:val="18"/>
              </w:rPr>
            </w:pPr>
          </w:p>
        </w:tc>
        <w:tc>
          <w:tcPr>
            <w:tcW w:w="3682" w:type="dxa"/>
            <w:shd w:val="clear" w:color="auto" w:fill="DBE5F1"/>
          </w:tcPr>
          <w:p w14:paraId="70F2A71D" w14:textId="1DFCB91C" w:rsidR="00E52915" w:rsidRDefault="000408BB" w:rsidP="0039423C">
            <w:pPr>
              <w:ind w:right="-45"/>
              <w:rPr>
                <w:sz w:val="18"/>
                <w:szCs w:val="18"/>
              </w:rPr>
            </w:pPr>
            <w:r w:rsidRPr="000408BB">
              <w:rPr>
                <w:sz w:val="18"/>
                <w:szCs w:val="18"/>
              </w:rPr>
              <w:t xml:space="preserve">Thorbjørn </w:t>
            </w:r>
            <w:proofErr w:type="spellStart"/>
            <w:r w:rsidRPr="000408BB">
              <w:rPr>
                <w:sz w:val="18"/>
                <w:szCs w:val="18"/>
              </w:rPr>
              <w:t>Konstantinovitz</w:t>
            </w:r>
            <w:proofErr w:type="spellEnd"/>
            <w:r w:rsidR="00E52915">
              <w:rPr>
                <w:sz w:val="18"/>
                <w:szCs w:val="18"/>
              </w:rPr>
              <w:t xml:space="preserve">, </w:t>
            </w:r>
            <w:r w:rsidR="0039423C">
              <w:rPr>
                <w:sz w:val="18"/>
                <w:szCs w:val="18"/>
              </w:rPr>
              <w:t>Arkitekt</w:t>
            </w:r>
          </w:p>
        </w:tc>
        <w:tc>
          <w:tcPr>
            <w:tcW w:w="3332" w:type="dxa"/>
            <w:shd w:val="clear" w:color="auto" w:fill="DBE5F1"/>
          </w:tcPr>
          <w:p w14:paraId="2801F9C6" w14:textId="1E6884A3" w:rsidR="00E52915" w:rsidRDefault="000408BB" w:rsidP="00292B97">
            <w:pPr>
              <w:ind w:right="-45"/>
              <w:rPr>
                <w:sz w:val="18"/>
                <w:szCs w:val="18"/>
              </w:rPr>
            </w:pPr>
            <w:r>
              <w:rPr>
                <w:sz w:val="18"/>
                <w:szCs w:val="18"/>
              </w:rPr>
              <w:t>ATP</w:t>
            </w:r>
          </w:p>
        </w:tc>
      </w:tr>
      <w:tr w:rsidR="00E52915" w14:paraId="361ED6D0" w14:textId="77777777" w:rsidTr="0039423C">
        <w:tc>
          <w:tcPr>
            <w:tcW w:w="2137" w:type="dxa"/>
            <w:shd w:val="clear" w:color="auto" w:fill="DBE5F1"/>
          </w:tcPr>
          <w:p w14:paraId="6C9FC18D" w14:textId="77777777" w:rsidR="00E52915" w:rsidRDefault="00E52915">
            <w:pPr>
              <w:ind w:left="100"/>
              <w:rPr>
                <w:b/>
                <w:sz w:val="18"/>
                <w:szCs w:val="18"/>
              </w:rPr>
            </w:pPr>
          </w:p>
        </w:tc>
        <w:tc>
          <w:tcPr>
            <w:tcW w:w="3682" w:type="dxa"/>
            <w:shd w:val="clear" w:color="auto" w:fill="DBE5F1"/>
          </w:tcPr>
          <w:p w14:paraId="47D11F41" w14:textId="77777777" w:rsidR="00E52915" w:rsidRDefault="00E52915" w:rsidP="0039423C">
            <w:pPr>
              <w:ind w:right="-45"/>
              <w:rPr>
                <w:sz w:val="18"/>
                <w:szCs w:val="18"/>
              </w:rPr>
            </w:pPr>
            <w:r>
              <w:rPr>
                <w:sz w:val="18"/>
                <w:szCs w:val="18"/>
              </w:rPr>
              <w:t>Rune Reimann Petersen,</w:t>
            </w:r>
            <w:r w:rsidR="0039423C">
              <w:rPr>
                <w:sz w:val="18"/>
                <w:szCs w:val="18"/>
              </w:rPr>
              <w:t xml:space="preserve"> Arkitekt</w:t>
            </w:r>
            <w:r>
              <w:rPr>
                <w:sz w:val="18"/>
                <w:szCs w:val="18"/>
              </w:rPr>
              <w:t xml:space="preserve"> </w:t>
            </w:r>
          </w:p>
        </w:tc>
        <w:tc>
          <w:tcPr>
            <w:tcW w:w="3332" w:type="dxa"/>
            <w:shd w:val="clear" w:color="auto" w:fill="DBE5F1"/>
          </w:tcPr>
          <w:p w14:paraId="3CA8E325" w14:textId="77777777" w:rsidR="00E52915" w:rsidRDefault="0039423C" w:rsidP="003F7DBB">
            <w:pPr>
              <w:ind w:right="-45"/>
              <w:rPr>
                <w:sz w:val="18"/>
                <w:szCs w:val="18"/>
              </w:rPr>
            </w:pPr>
            <w:r>
              <w:rPr>
                <w:sz w:val="18"/>
                <w:szCs w:val="18"/>
              </w:rPr>
              <w:t>KL</w:t>
            </w:r>
          </w:p>
        </w:tc>
      </w:tr>
      <w:tr w:rsidR="00E52915" w14:paraId="4349B39E" w14:textId="77777777" w:rsidTr="0039423C">
        <w:tc>
          <w:tcPr>
            <w:tcW w:w="2137" w:type="dxa"/>
            <w:shd w:val="clear" w:color="auto" w:fill="DBE5F1"/>
          </w:tcPr>
          <w:p w14:paraId="5823B145" w14:textId="77777777" w:rsidR="00E52915" w:rsidRDefault="00E52915">
            <w:pPr>
              <w:ind w:left="100"/>
              <w:rPr>
                <w:b/>
                <w:color w:val="000000"/>
                <w:sz w:val="18"/>
                <w:szCs w:val="18"/>
              </w:rPr>
            </w:pPr>
            <w:r>
              <w:rPr>
                <w:b/>
                <w:color w:val="000000"/>
                <w:sz w:val="18"/>
                <w:szCs w:val="18"/>
              </w:rPr>
              <w:t>Sekretariat for 8.1:</w:t>
            </w:r>
          </w:p>
        </w:tc>
        <w:tc>
          <w:tcPr>
            <w:tcW w:w="3682" w:type="dxa"/>
            <w:shd w:val="clear" w:color="auto" w:fill="DBE5F1"/>
          </w:tcPr>
          <w:p w14:paraId="6C547762" w14:textId="3FD8EB08" w:rsidR="00E52915" w:rsidRDefault="008F6B50" w:rsidP="0039423C">
            <w:pPr>
              <w:ind w:right="-45"/>
              <w:rPr>
                <w:color w:val="000000"/>
                <w:sz w:val="18"/>
                <w:szCs w:val="18"/>
              </w:rPr>
            </w:pPr>
            <w:r>
              <w:rPr>
                <w:sz w:val="18"/>
                <w:szCs w:val="18"/>
              </w:rPr>
              <w:t>Adam Arnth</w:t>
            </w:r>
            <w:r w:rsidR="00E52915">
              <w:rPr>
                <w:sz w:val="18"/>
                <w:szCs w:val="18"/>
              </w:rPr>
              <w:t xml:space="preserve">, </w:t>
            </w:r>
            <w:r w:rsidR="0039423C">
              <w:rPr>
                <w:sz w:val="18"/>
                <w:szCs w:val="18"/>
              </w:rPr>
              <w:t>Arkitekt</w:t>
            </w:r>
          </w:p>
        </w:tc>
        <w:tc>
          <w:tcPr>
            <w:tcW w:w="3332" w:type="dxa"/>
            <w:shd w:val="clear" w:color="auto" w:fill="DBE5F1"/>
          </w:tcPr>
          <w:p w14:paraId="7F74EA33" w14:textId="77777777" w:rsidR="00E52915" w:rsidRDefault="0039423C">
            <w:pPr>
              <w:ind w:right="-45"/>
              <w:rPr>
                <w:sz w:val="18"/>
                <w:szCs w:val="18"/>
              </w:rPr>
            </w:pPr>
            <w:r>
              <w:rPr>
                <w:sz w:val="18"/>
                <w:szCs w:val="18"/>
              </w:rPr>
              <w:t>Digitaliseringsstyrelsen - CTD</w:t>
            </w:r>
          </w:p>
        </w:tc>
      </w:tr>
      <w:tr w:rsidR="00E52915" w14:paraId="65CD6DC6" w14:textId="77777777" w:rsidTr="0039423C">
        <w:tc>
          <w:tcPr>
            <w:tcW w:w="2137" w:type="dxa"/>
            <w:shd w:val="clear" w:color="auto" w:fill="DBE5F1"/>
          </w:tcPr>
          <w:p w14:paraId="7D7C8F6F" w14:textId="77777777" w:rsidR="00E52915" w:rsidRDefault="00E52915">
            <w:pPr>
              <w:ind w:left="100"/>
              <w:rPr>
                <w:b/>
                <w:sz w:val="18"/>
                <w:szCs w:val="18"/>
              </w:rPr>
            </w:pPr>
          </w:p>
        </w:tc>
        <w:tc>
          <w:tcPr>
            <w:tcW w:w="3682" w:type="dxa"/>
            <w:shd w:val="clear" w:color="auto" w:fill="DBE5F1"/>
          </w:tcPr>
          <w:p w14:paraId="2E9789C4" w14:textId="77777777" w:rsidR="00E52915" w:rsidRDefault="00E52915" w:rsidP="0039423C">
            <w:pPr>
              <w:ind w:right="-45"/>
              <w:rPr>
                <w:sz w:val="18"/>
                <w:szCs w:val="18"/>
              </w:rPr>
            </w:pPr>
            <w:r>
              <w:rPr>
                <w:sz w:val="18"/>
                <w:szCs w:val="18"/>
              </w:rPr>
              <w:t>Asbjørn Flyger Lauwersen,</w:t>
            </w:r>
            <w:r w:rsidR="0039423C">
              <w:rPr>
                <w:sz w:val="18"/>
                <w:szCs w:val="18"/>
              </w:rPr>
              <w:t xml:space="preserve"> </w:t>
            </w:r>
            <w:proofErr w:type="spellStart"/>
            <w:r w:rsidR="0039423C">
              <w:rPr>
                <w:sz w:val="18"/>
                <w:szCs w:val="18"/>
              </w:rPr>
              <w:t>Facilitator</w:t>
            </w:r>
            <w:proofErr w:type="spellEnd"/>
          </w:p>
        </w:tc>
        <w:tc>
          <w:tcPr>
            <w:tcW w:w="3332" w:type="dxa"/>
            <w:shd w:val="clear" w:color="auto" w:fill="DBE5F1"/>
          </w:tcPr>
          <w:p w14:paraId="068CE22C" w14:textId="77777777" w:rsidR="00E52915" w:rsidRDefault="0039423C" w:rsidP="009C0C23">
            <w:pPr>
              <w:ind w:right="-45"/>
              <w:rPr>
                <w:sz w:val="18"/>
                <w:szCs w:val="18"/>
              </w:rPr>
            </w:pPr>
            <w:r>
              <w:rPr>
                <w:sz w:val="18"/>
                <w:szCs w:val="18"/>
              </w:rPr>
              <w:t>Digitaliseringsstyrelsen - CTD</w:t>
            </w:r>
          </w:p>
        </w:tc>
      </w:tr>
      <w:tr w:rsidR="00E52915" w14:paraId="3A53FFFE" w14:textId="77777777" w:rsidTr="0039423C">
        <w:tc>
          <w:tcPr>
            <w:tcW w:w="2137" w:type="dxa"/>
            <w:shd w:val="clear" w:color="auto" w:fill="DBE5F1"/>
          </w:tcPr>
          <w:p w14:paraId="14F94330" w14:textId="77777777" w:rsidR="00E52915" w:rsidRDefault="00E52915">
            <w:pPr>
              <w:ind w:left="100"/>
              <w:rPr>
                <w:b/>
                <w:sz w:val="18"/>
                <w:szCs w:val="18"/>
              </w:rPr>
            </w:pPr>
            <w:r>
              <w:rPr>
                <w:b/>
                <w:sz w:val="18"/>
                <w:szCs w:val="18"/>
              </w:rPr>
              <w:t>Projektdeltagere:</w:t>
            </w:r>
          </w:p>
        </w:tc>
        <w:tc>
          <w:tcPr>
            <w:tcW w:w="3682" w:type="dxa"/>
            <w:shd w:val="clear" w:color="auto" w:fill="DBE5F1"/>
          </w:tcPr>
          <w:p w14:paraId="39933E63" w14:textId="575459FB" w:rsidR="00E52915" w:rsidRDefault="008F6B50" w:rsidP="0039423C">
            <w:pPr>
              <w:ind w:right="-45"/>
              <w:rPr>
                <w:sz w:val="18"/>
                <w:szCs w:val="18"/>
              </w:rPr>
            </w:pPr>
            <w:r>
              <w:rPr>
                <w:sz w:val="18"/>
                <w:szCs w:val="18"/>
              </w:rPr>
              <w:t>Anna Louise Madsen</w:t>
            </w:r>
            <w:r w:rsidR="00E52915">
              <w:rPr>
                <w:sz w:val="18"/>
                <w:szCs w:val="18"/>
              </w:rPr>
              <w:t>,</w:t>
            </w:r>
            <w:r w:rsidR="0039423C">
              <w:rPr>
                <w:sz w:val="18"/>
                <w:szCs w:val="18"/>
              </w:rPr>
              <w:t xml:space="preserve"> Projektleder</w:t>
            </w:r>
            <w:r w:rsidR="00E52915">
              <w:rPr>
                <w:sz w:val="18"/>
                <w:szCs w:val="18"/>
              </w:rPr>
              <w:t xml:space="preserve"> </w:t>
            </w:r>
          </w:p>
        </w:tc>
        <w:tc>
          <w:tcPr>
            <w:tcW w:w="3332" w:type="dxa"/>
            <w:shd w:val="clear" w:color="auto" w:fill="DBE5F1"/>
          </w:tcPr>
          <w:p w14:paraId="60CD2D69" w14:textId="77777777" w:rsidR="00E52915" w:rsidRDefault="0039423C" w:rsidP="00292B97">
            <w:pPr>
              <w:ind w:right="-45"/>
              <w:rPr>
                <w:sz w:val="18"/>
                <w:szCs w:val="18"/>
              </w:rPr>
            </w:pPr>
            <w:r>
              <w:rPr>
                <w:sz w:val="18"/>
                <w:szCs w:val="18"/>
              </w:rPr>
              <w:t>Digitaliseringsstyrelsen</w:t>
            </w:r>
          </w:p>
        </w:tc>
      </w:tr>
      <w:tr w:rsidR="00E52915" w14:paraId="6220C731" w14:textId="77777777" w:rsidTr="0039423C">
        <w:tc>
          <w:tcPr>
            <w:tcW w:w="2137" w:type="dxa"/>
            <w:shd w:val="clear" w:color="auto" w:fill="DBE5F1"/>
          </w:tcPr>
          <w:p w14:paraId="43908DDD" w14:textId="77777777" w:rsidR="00E52915" w:rsidRDefault="00E52915">
            <w:pPr>
              <w:ind w:left="100"/>
              <w:rPr>
                <w:b/>
                <w:color w:val="000000"/>
                <w:sz w:val="18"/>
                <w:szCs w:val="18"/>
              </w:rPr>
            </w:pPr>
          </w:p>
        </w:tc>
        <w:tc>
          <w:tcPr>
            <w:tcW w:w="3682" w:type="dxa"/>
            <w:shd w:val="clear" w:color="auto" w:fill="DBE5F1"/>
          </w:tcPr>
          <w:p w14:paraId="1B9F21EB" w14:textId="221D6E77" w:rsidR="00E52915" w:rsidRDefault="002162D4" w:rsidP="002162D4">
            <w:pPr>
              <w:ind w:right="-45"/>
              <w:rPr>
                <w:sz w:val="18"/>
                <w:szCs w:val="18"/>
              </w:rPr>
            </w:pPr>
            <w:r>
              <w:rPr>
                <w:sz w:val="18"/>
                <w:szCs w:val="18"/>
              </w:rPr>
              <w:t>Martin Håkansson</w:t>
            </w:r>
            <w:r w:rsidR="00E52915">
              <w:rPr>
                <w:sz w:val="18"/>
                <w:szCs w:val="18"/>
              </w:rPr>
              <w:t xml:space="preserve">, </w:t>
            </w:r>
            <w:r>
              <w:rPr>
                <w:sz w:val="18"/>
                <w:szCs w:val="18"/>
              </w:rPr>
              <w:t>Arkitekt</w:t>
            </w:r>
          </w:p>
        </w:tc>
        <w:tc>
          <w:tcPr>
            <w:tcW w:w="3332" w:type="dxa"/>
            <w:shd w:val="clear" w:color="auto" w:fill="DBE5F1"/>
          </w:tcPr>
          <w:p w14:paraId="42E4E48D" w14:textId="25A09B48" w:rsidR="00E52915" w:rsidRDefault="007F7E57" w:rsidP="009C0C23">
            <w:pPr>
              <w:ind w:right="-45"/>
              <w:rPr>
                <w:sz w:val="18"/>
                <w:szCs w:val="18"/>
              </w:rPr>
            </w:pPr>
            <w:r>
              <w:rPr>
                <w:sz w:val="18"/>
                <w:szCs w:val="18"/>
              </w:rPr>
              <w:t>Erhvervsstyrelsen</w:t>
            </w:r>
          </w:p>
        </w:tc>
      </w:tr>
      <w:tr w:rsidR="007F7E57" w14:paraId="2BB6672D" w14:textId="77777777" w:rsidTr="0039423C">
        <w:tc>
          <w:tcPr>
            <w:tcW w:w="2137" w:type="dxa"/>
            <w:shd w:val="clear" w:color="auto" w:fill="DBE5F1"/>
          </w:tcPr>
          <w:p w14:paraId="7FA5F02F" w14:textId="77777777" w:rsidR="007F7E57" w:rsidRDefault="007F7E57">
            <w:pPr>
              <w:ind w:left="100"/>
              <w:rPr>
                <w:b/>
                <w:color w:val="000000"/>
                <w:sz w:val="18"/>
                <w:szCs w:val="18"/>
              </w:rPr>
            </w:pPr>
          </w:p>
        </w:tc>
        <w:tc>
          <w:tcPr>
            <w:tcW w:w="3682" w:type="dxa"/>
            <w:shd w:val="clear" w:color="auto" w:fill="DBE5F1"/>
          </w:tcPr>
          <w:p w14:paraId="1BFC3296" w14:textId="305AC032" w:rsidR="007F7E57" w:rsidRDefault="002162D4" w:rsidP="002162D4">
            <w:pPr>
              <w:ind w:right="-45"/>
              <w:rPr>
                <w:sz w:val="18"/>
                <w:szCs w:val="18"/>
              </w:rPr>
            </w:pPr>
            <w:r>
              <w:rPr>
                <w:sz w:val="18"/>
                <w:szCs w:val="18"/>
              </w:rPr>
              <w:t>Martin Høyer</w:t>
            </w:r>
            <w:r w:rsidR="007F7E57">
              <w:rPr>
                <w:sz w:val="18"/>
                <w:szCs w:val="18"/>
              </w:rPr>
              <w:t xml:space="preserve">, </w:t>
            </w:r>
            <w:r>
              <w:rPr>
                <w:sz w:val="18"/>
                <w:szCs w:val="18"/>
              </w:rPr>
              <w:t>Projektleder</w:t>
            </w:r>
          </w:p>
        </w:tc>
        <w:tc>
          <w:tcPr>
            <w:tcW w:w="3332" w:type="dxa"/>
            <w:shd w:val="clear" w:color="auto" w:fill="DBE5F1"/>
          </w:tcPr>
          <w:p w14:paraId="352D738B" w14:textId="1F7C1767" w:rsidR="007F7E57" w:rsidRDefault="007F7E57" w:rsidP="009C0C23">
            <w:pPr>
              <w:ind w:right="-45"/>
              <w:rPr>
                <w:sz w:val="18"/>
                <w:szCs w:val="18"/>
              </w:rPr>
            </w:pPr>
            <w:r>
              <w:rPr>
                <w:sz w:val="18"/>
                <w:szCs w:val="18"/>
              </w:rPr>
              <w:t>Erhvervsstyrelsen</w:t>
            </w:r>
          </w:p>
        </w:tc>
      </w:tr>
      <w:tr w:rsidR="00E52915" w14:paraId="4870DD1F" w14:textId="77777777" w:rsidTr="0039423C">
        <w:tc>
          <w:tcPr>
            <w:tcW w:w="2137" w:type="dxa"/>
            <w:shd w:val="clear" w:color="auto" w:fill="DBE5F1"/>
          </w:tcPr>
          <w:p w14:paraId="68B9F5CA" w14:textId="77777777" w:rsidR="00E52915" w:rsidRDefault="00E52915">
            <w:pPr>
              <w:ind w:left="100"/>
              <w:rPr>
                <w:b/>
                <w:color w:val="000000"/>
                <w:sz w:val="18"/>
                <w:szCs w:val="18"/>
              </w:rPr>
            </w:pPr>
          </w:p>
        </w:tc>
        <w:tc>
          <w:tcPr>
            <w:tcW w:w="3682" w:type="dxa"/>
            <w:shd w:val="clear" w:color="auto" w:fill="DBE5F1"/>
          </w:tcPr>
          <w:p w14:paraId="41173055" w14:textId="77777777" w:rsidR="00E52915" w:rsidRDefault="00E52915" w:rsidP="0039423C">
            <w:pPr>
              <w:ind w:right="-45"/>
              <w:rPr>
                <w:sz w:val="18"/>
                <w:szCs w:val="18"/>
              </w:rPr>
            </w:pPr>
            <w:r>
              <w:rPr>
                <w:sz w:val="18"/>
                <w:szCs w:val="18"/>
              </w:rPr>
              <w:t>Kurt Hansen, Arkitekt</w:t>
            </w:r>
          </w:p>
        </w:tc>
        <w:tc>
          <w:tcPr>
            <w:tcW w:w="3332" w:type="dxa"/>
            <w:shd w:val="clear" w:color="auto" w:fill="DBE5F1"/>
          </w:tcPr>
          <w:p w14:paraId="31A60093" w14:textId="77777777" w:rsidR="00E52915" w:rsidRDefault="0039423C" w:rsidP="003F7DBB">
            <w:pPr>
              <w:ind w:right="-45"/>
              <w:rPr>
                <w:sz w:val="18"/>
                <w:szCs w:val="18"/>
              </w:rPr>
            </w:pPr>
            <w:r>
              <w:rPr>
                <w:sz w:val="18"/>
                <w:szCs w:val="18"/>
              </w:rPr>
              <w:t>Strand og Donslund</w:t>
            </w:r>
          </w:p>
        </w:tc>
      </w:tr>
    </w:tbl>
    <w:p w14:paraId="1B71A38D" w14:textId="77777777" w:rsidR="00903335" w:rsidRPr="009C509D" w:rsidRDefault="00E80DA7" w:rsidP="00903335">
      <w:pPr>
        <w:pStyle w:val="Overskrift1"/>
        <w:keepNext w:val="0"/>
        <w:keepLines w:val="0"/>
        <w:spacing w:after="80"/>
      </w:pPr>
      <w:bookmarkStart w:id="6" w:name="_Toc24117853"/>
      <w:r>
        <w:t>Projektresume</w:t>
      </w:r>
      <w:bookmarkEnd w:id="6"/>
    </w:p>
    <w:p w14:paraId="0975BA4F" w14:textId="209AA889" w:rsidR="000839C0" w:rsidRDefault="00B46E21" w:rsidP="00F62187">
      <w:pPr>
        <w:pStyle w:val="Brdtekst"/>
        <w:spacing w:line="276" w:lineRule="auto"/>
        <w:rPr>
          <w:rFonts w:asciiTheme="majorHAnsi" w:hAnsiTheme="majorHAnsi" w:cstheme="majorHAnsi"/>
        </w:rPr>
      </w:pPr>
      <w:bookmarkStart w:id="7" w:name="_lc8qpab8doa6" w:colFirst="0" w:colLast="0"/>
      <w:bookmarkStart w:id="8" w:name="_Toc24117854"/>
      <w:bookmarkEnd w:id="7"/>
      <w:r w:rsidRPr="00F62187">
        <w:rPr>
          <w:rFonts w:asciiTheme="majorHAnsi" w:hAnsiTheme="majorHAnsi" w:cstheme="majorHAnsi"/>
        </w:rPr>
        <w:t>Projekte</w:t>
      </w:r>
      <w:r w:rsidR="00C2058B">
        <w:rPr>
          <w:rFonts w:asciiTheme="majorHAnsi" w:hAnsiTheme="majorHAnsi" w:cstheme="majorHAnsi"/>
        </w:rPr>
        <w:t>rne</w:t>
      </w:r>
      <w:r w:rsidRPr="00F62187">
        <w:rPr>
          <w:rFonts w:asciiTheme="majorHAnsi" w:hAnsiTheme="majorHAnsi" w:cstheme="majorHAnsi"/>
        </w:rPr>
        <w:t xml:space="preserve"> for orkestreringskomponente</w:t>
      </w:r>
      <w:r w:rsidR="0057116C">
        <w:rPr>
          <w:rFonts w:asciiTheme="majorHAnsi" w:hAnsiTheme="majorHAnsi" w:cstheme="majorHAnsi"/>
        </w:rPr>
        <w:t>rne</w:t>
      </w:r>
      <w:r w:rsidRPr="00F62187">
        <w:rPr>
          <w:rFonts w:asciiTheme="majorHAnsi" w:hAnsiTheme="majorHAnsi" w:cstheme="majorHAnsi"/>
        </w:rPr>
        <w:t xml:space="preserve"> udspringer</w:t>
      </w:r>
      <w:r w:rsidR="0057116C">
        <w:rPr>
          <w:rFonts w:asciiTheme="majorHAnsi" w:hAnsiTheme="majorHAnsi" w:cstheme="majorHAnsi"/>
        </w:rPr>
        <w:t xml:space="preserve"> begge</w:t>
      </w:r>
      <w:r w:rsidRPr="00F62187">
        <w:rPr>
          <w:rFonts w:asciiTheme="majorHAnsi" w:hAnsiTheme="majorHAnsi" w:cstheme="majorHAnsi"/>
        </w:rPr>
        <w:t xml:space="preserve"> af initiativ 1.3 Sags- og ydelsesoverblik i FODS 2016-2020. I regi af dette initiativ er gennemført en række analyser af borgeres</w:t>
      </w:r>
      <w:r w:rsidR="0057116C">
        <w:rPr>
          <w:rFonts w:asciiTheme="majorHAnsi" w:hAnsiTheme="majorHAnsi" w:cstheme="majorHAnsi"/>
        </w:rPr>
        <w:t xml:space="preserve"> og virksomheders</w:t>
      </w:r>
      <w:r w:rsidRPr="00F62187">
        <w:rPr>
          <w:rFonts w:asciiTheme="majorHAnsi" w:hAnsiTheme="majorHAnsi" w:cstheme="majorHAnsi"/>
        </w:rPr>
        <w:t xml:space="preserve"> ønsker til et overblik over sager</w:t>
      </w:r>
      <w:r w:rsidR="0057116C">
        <w:rPr>
          <w:rFonts w:asciiTheme="majorHAnsi" w:hAnsiTheme="majorHAnsi" w:cstheme="majorHAnsi"/>
        </w:rPr>
        <w:t>,</w:t>
      </w:r>
      <w:r w:rsidRPr="00F62187">
        <w:rPr>
          <w:rFonts w:asciiTheme="majorHAnsi" w:hAnsiTheme="majorHAnsi" w:cstheme="majorHAnsi"/>
        </w:rPr>
        <w:t xml:space="preserve"> ydelser</w:t>
      </w:r>
      <w:r w:rsidR="0057116C">
        <w:rPr>
          <w:rFonts w:asciiTheme="majorHAnsi" w:hAnsiTheme="majorHAnsi" w:cstheme="majorHAnsi"/>
        </w:rPr>
        <w:t xml:space="preserve"> og for virksomheder frister,</w:t>
      </w:r>
      <w:r w:rsidRPr="00F62187">
        <w:rPr>
          <w:rFonts w:asciiTheme="majorHAnsi" w:hAnsiTheme="majorHAnsi" w:cstheme="majorHAnsi"/>
        </w:rPr>
        <w:t xml:space="preserve"> samt af arkitekturen. </w:t>
      </w:r>
      <w:r w:rsidR="0057116C">
        <w:rPr>
          <w:rFonts w:asciiTheme="majorHAnsi" w:hAnsiTheme="majorHAnsi" w:cstheme="majorHAnsi"/>
        </w:rPr>
        <w:t>orkestreringskomponenten der skal levere data til Borger.dk</w:t>
      </w:r>
      <w:r w:rsidR="0057116C" w:rsidRPr="00F62187">
        <w:rPr>
          <w:rFonts w:asciiTheme="majorHAnsi" w:hAnsiTheme="majorHAnsi" w:cstheme="majorHAnsi"/>
        </w:rPr>
        <w:t xml:space="preserve"> </w:t>
      </w:r>
      <w:r w:rsidRPr="00F62187">
        <w:rPr>
          <w:rFonts w:asciiTheme="majorHAnsi" w:hAnsiTheme="majorHAnsi" w:cstheme="majorHAnsi"/>
        </w:rPr>
        <w:t>er aftalt videreført i digitaliseringspagten, hvor det indgår i initiativet Mit overblik som det projekt, der realiserer arkitekturen for Mit overblik ved etablering af orkestreringskomponenten.</w:t>
      </w:r>
    </w:p>
    <w:p w14:paraId="0F81329D" w14:textId="77777777" w:rsidR="00CA125B" w:rsidRDefault="00CA125B" w:rsidP="000839C0">
      <w:pPr>
        <w:pStyle w:val="Brdtekst"/>
        <w:spacing w:line="276" w:lineRule="auto"/>
        <w:rPr>
          <w:rFonts w:asciiTheme="majorHAnsi" w:hAnsiTheme="majorHAnsi" w:cstheme="majorHAnsi"/>
        </w:rPr>
      </w:pPr>
      <w:r>
        <w:rPr>
          <w:rFonts w:asciiTheme="majorHAnsi" w:hAnsiTheme="majorHAnsi" w:cstheme="majorHAnsi"/>
        </w:rPr>
        <w:t xml:space="preserve">På borgerområdet skal orkestreringskomponenten som udgangspunkt alene anvendes til </w:t>
      </w:r>
      <w:proofErr w:type="spellStart"/>
      <w:r>
        <w:rPr>
          <w:rFonts w:asciiTheme="majorHAnsi" w:hAnsiTheme="majorHAnsi" w:cstheme="majorHAnsi"/>
        </w:rPr>
        <w:t>standardiserbare</w:t>
      </w:r>
      <w:proofErr w:type="spellEnd"/>
      <w:r>
        <w:rPr>
          <w:rFonts w:asciiTheme="majorHAnsi" w:hAnsiTheme="majorHAnsi" w:cstheme="majorHAnsi"/>
        </w:rPr>
        <w:t xml:space="preserve"> data, men den på virksomhedsområdet anvendes til alle overbliksdata, dog med en forventning om, at overblik primært består af </w:t>
      </w:r>
      <w:proofErr w:type="spellStart"/>
      <w:r>
        <w:rPr>
          <w:rFonts w:asciiTheme="majorHAnsi" w:hAnsiTheme="majorHAnsi" w:cstheme="majorHAnsi"/>
        </w:rPr>
        <w:t>standardiserbare</w:t>
      </w:r>
      <w:proofErr w:type="spellEnd"/>
      <w:r>
        <w:rPr>
          <w:rFonts w:asciiTheme="majorHAnsi" w:hAnsiTheme="majorHAnsi" w:cstheme="majorHAnsi"/>
        </w:rPr>
        <w:t xml:space="preserve"> data. </w:t>
      </w:r>
    </w:p>
    <w:p w14:paraId="047930C9" w14:textId="409FA780" w:rsidR="000839C0" w:rsidRPr="00F62187" w:rsidRDefault="00CA125B" w:rsidP="000839C0">
      <w:pPr>
        <w:pStyle w:val="Brdtekst"/>
        <w:spacing w:line="276" w:lineRule="auto"/>
        <w:rPr>
          <w:rFonts w:asciiTheme="majorHAnsi" w:hAnsiTheme="majorHAnsi" w:cstheme="majorHAnsi"/>
        </w:rPr>
      </w:pPr>
      <w:r>
        <w:rPr>
          <w:rFonts w:asciiTheme="majorHAnsi" w:hAnsiTheme="majorHAnsi" w:cstheme="majorHAnsi"/>
        </w:rPr>
        <w:t>Standardiseringspoten</w:t>
      </w:r>
      <w:r w:rsidR="00F12575">
        <w:rPr>
          <w:rFonts w:asciiTheme="majorHAnsi" w:hAnsiTheme="majorHAnsi" w:cstheme="majorHAnsi"/>
        </w:rPr>
        <w:t>tialet</w:t>
      </w:r>
      <w:r w:rsidR="000839C0" w:rsidRPr="00F62187">
        <w:rPr>
          <w:rFonts w:asciiTheme="majorHAnsi" w:hAnsiTheme="majorHAnsi" w:cstheme="majorHAnsi"/>
        </w:rPr>
        <w:t xml:space="preserve"> identificeres ved, at det pågældende dataobjekt (fx sager) besidder mindst en af følgende egenskaber:</w:t>
      </w:r>
    </w:p>
    <w:p w14:paraId="38513875" w14:textId="77777777" w:rsidR="000839C0" w:rsidRPr="00F62187" w:rsidRDefault="000839C0" w:rsidP="000839C0">
      <w:pPr>
        <w:pStyle w:val="Opstilling-punkttegn"/>
        <w:tabs>
          <w:tab w:val="clear" w:pos="360"/>
          <w:tab w:val="num" w:pos="567"/>
        </w:tabs>
        <w:spacing w:after="160"/>
        <w:ind w:left="567" w:hanging="283"/>
        <w:rPr>
          <w:rFonts w:asciiTheme="majorHAnsi" w:hAnsiTheme="majorHAnsi" w:cstheme="majorHAnsi"/>
        </w:rPr>
      </w:pPr>
      <w:r w:rsidRPr="00F62187">
        <w:rPr>
          <w:rFonts w:asciiTheme="majorHAnsi" w:hAnsiTheme="majorHAnsi" w:cstheme="majorHAnsi"/>
        </w:rPr>
        <w:t>Dataobjektet findes i og leveres fra flere datakilder</w:t>
      </w:r>
    </w:p>
    <w:p w14:paraId="1EEFA524" w14:textId="77777777" w:rsidR="000839C0" w:rsidRPr="00F62187" w:rsidRDefault="000839C0" w:rsidP="000839C0">
      <w:pPr>
        <w:pStyle w:val="Opstilling-punkttegn"/>
        <w:numPr>
          <w:ilvl w:val="0"/>
          <w:numId w:val="6"/>
        </w:numPr>
        <w:spacing w:after="160"/>
        <w:rPr>
          <w:rFonts w:asciiTheme="majorHAnsi" w:hAnsiTheme="majorHAnsi" w:cstheme="majorHAnsi"/>
        </w:rPr>
      </w:pPr>
      <w:r w:rsidRPr="00F62187">
        <w:rPr>
          <w:rFonts w:asciiTheme="majorHAnsi" w:hAnsiTheme="majorHAnsi" w:cstheme="majorHAnsi"/>
        </w:rPr>
        <w:t>Data, der findes i flere datakilder på tværs af myndigheder, er egnet til orkestrering, da der her er behov for, at data følger samme standarder og leveres samlet for at sikre en ensartet og samlet præsentation af data ud mod brugeren. Eksempler på dette er sager og ydelser.</w:t>
      </w:r>
    </w:p>
    <w:p w14:paraId="6A9F183D" w14:textId="77777777" w:rsidR="000839C0" w:rsidRPr="00F62187" w:rsidRDefault="000839C0" w:rsidP="000839C0">
      <w:pPr>
        <w:pStyle w:val="Opstilling-punkttegn"/>
        <w:tabs>
          <w:tab w:val="clear" w:pos="360"/>
          <w:tab w:val="num" w:pos="567"/>
        </w:tabs>
        <w:spacing w:after="160"/>
        <w:ind w:left="567" w:hanging="283"/>
        <w:rPr>
          <w:rFonts w:asciiTheme="majorHAnsi" w:hAnsiTheme="majorHAnsi" w:cstheme="majorHAnsi"/>
        </w:rPr>
      </w:pPr>
      <w:r w:rsidRPr="00F62187">
        <w:rPr>
          <w:rFonts w:asciiTheme="majorHAnsi" w:hAnsiTheme="majorHAnsi" w:cstheme="majorHAnsi"/>
        </w:rPr>
        <w:t>Dataobjektet skal vises i flere forskellige overblik</w:t>
      </w:r>
    </w:p>
    <w:p w14:paraId="00072B28" w14:textId="70BFC44C" w:rsidR="00E32E6F" w:rsidRDefault="000839C0" w:rsidP="000839C0">
      <w:pPr>
        <w:pStyle w:val="Brdtekst"/>
        <w:spacing w:line="276" w:lineRule="auto"/>
        <w:rPr>
          <w:rFonts w:asciiTheme="majorHAnsi" w:hAnsiTheme="majorHAnsi" w:cstheme="majorHAnsi"/>
        </w:rPr>
      </w:pPr>
      <w:r w:rsidRPr="00F62187">
        <w:rPr>
          <w:rFonts w:asciiTheme="majorHAnsi" w:hAnsiTheme="majorHAnsi" w:cstheme="majorHAnsi"/>
        </w:rPr>
        <w:lastRenderedPageBreak/>
        <w:t xml:space="preserve">Data kan være egnet til orkestrering, selvom de kun findes et sted, såfremt flere applikationer ønsker at udstille disse data for borgere. Der er endnu ikke identificeret eksempler på dette. </w:t>
      </w:r>
      <w:r w:rsidR="00B46E21" w:rsidRPr="00F62187">
        <w:rPr>
          <w:rFonts w:asciiTheme="majorHAnsi" w:hAnsiTheme="majorHAnsi" w:cstheme="majorHAnsi"/>
        </w:rPr>
        <w:t xml:space="preserve"> </w:t>
      </w:r>
    </w:p>
    <w:p w14:paraId="07DA7FC3" w14:textId="3EBE4080" w:rsidR="00CA125B" w:rsidRDefault="00CA125B" w:rsidP="000839C0">
      <w:pPr>
        <w:pStyle w:val="Brdtekst"/>
        <w:spacing w:line="276" w:lineRule="auto"/>
        <w:rPr>
          <w:rFonts w:asciiTheme="majorHAnsi" w:hAnsiTheme="majorHAnsi" w:cstheme="majorHAnsi"/>
        </w:rPr>
      </w:pPr>
      <w:r>
        <w:rPr>
          <w:rFonts w:asciiTheme="majorHAnsi" w:hAnsiTheme="majorHAnsi" w:cstheme="majorHAnsi"/>
        </w:rPr>
        <w:t xml:space="preserve">På virksomhedsområdet </w:t>
      </w:r>
    </w:p>
    <w:p w14:paraId="45CA24FB" w14:textId="17624A93" w:rsidR="0057116C" w:rsidRDefault="0057116C" w:rsidP="00787533">
      <w:pPr>
        <w:pStyle w:val="Overskrift7"/>
      </w:pPr>
      <w:r>
        <w:t>Overblikket på borger.dk</w:t>
      </w:r>
    </w:p>
    <w:p w14:paraId="552A7E2F" w14:textId="40137AAE" w:rsidR="00B46E21" w:rsidRPr="00F62187" w:rsidRDefault="000839C0" w:rsidP="00787533">
      <w:pPr>
        <w:pStyle w:val="Brdtekst"/>
        <w:spacing w:line="276" w:lineRule="auto"/>
        <w:rPr>
          <w:rFonts w:asciiTheme="majorHAnsi" w:hAnsiTheme="majorHAnsi" w:cstheme="majorHAnsi"/>
        </w:rPr>
      </w:pPr>
      <w:r>
        <w:rPr>
          <w:rFonts w:asciiTheme="majorHAnsi" w:hAnsiTheme="majorHAnsi" w:cstheme="majorHAnsi"/>
        </w:rPr>
        <w:t>Rollen for k</w:t>
      </w:r>
      <w:r w:rsidR="00B46E21" w:rsidRPr="00F62187">
        <w:rPr>
          <w:rFonts w:asciiTheme="majorHAnsi" w:hAnsiTheme="majorHAnsi" w:cstheme="majorHAnsi"/>
        </w:rPr>
        <w:t>omponenten</w:t>
      </w:r>
      <w:r>
        <w:rPr>
          <w:rFonts w:asciiTheme="majorHAnsi" w:hAnsiTheme="majorHAnsi" w:cstheme="majorHAnsi"/>
        </w:rPr>
        <w:t xml:space="preserve"> der skal orkestrere borgerdata</w:t>
      </w:r>
      <w:r w:rsidR="00B46E21" w:rsidRPr="00F62187">
        <w:rPr>
          <w:rFonts w:asciiTheme="majorHAnsi" w:hAnsiTheme="majorHAnsi" w:cstheme="majorHAnsi"/>
        </w:rPr>
        <w:t xml:space="preserve"> er at indhente data fra underliggende datakilder på en standardiseret måde og videreformidle dem til applikationer (Mit overblik på borger.dk, men potentielt også andre overblik), der er ansvarlige for at vise data til brugeren. </w:t>
      </w:r>
    </w:p>
    <w:p w14:paraId="2822D120" w14:textId="5D76136A" w:rsidR="00B46E21" w:rsidRDefault="00B46E21" w:rsidP="00F62187">
      <w:pPr>
        <w:pStyle w:val="Brdtekst"/>
        <w:spacing w:line="276" w:lineRule="auto"/>
        <w:rPr>
          <w:rFonts w:asciiTheme="majorHAnsi" w:hAnsiTheme="majorHAnsi" w:cstheme="majorHAnsi"/>
        </w:rPr>
      </w:pPr>
      <w:r w:rsidRPr="00F62187">
        <w:rPr>
          <w:rFonts w:asciiTheme="majorHAnsi" w:hAnsiTheme="majorHAnsi" w:cstheme="majorHAnsi"/>
        </w:rPr>
        <w:t xml:space="preserve">Etableres Mit overblik uden en orkestreringskomponent, skal borger.dk implementere den funktionalitet, som orkestreringskomponenten omfatter. Dette giver ikke mulighed for at vise data i andre overbliksløsninger. Ved at bygge en orkestreringskomponenten som en fælles infrastrukturløsning sikres det, at sammenstillede data kan anvendes til andre formål/visninger. </w:t>
      </w:r>
    </w:p>
    <w:p w14:paraId="15D3BC73" w14:textId="1A196BA8" w:rsidR="0057116C" w:rsidRDefault="0057116C" w:rsidP="00787533">
      <w:pPr>
        <w:pStyle w:val="Overskrift7"/>
      </w:pPr>
      <w:r>
        <w:t>Overblikket på virk.dk</w:t>
      </w:r>
    </w:p>
    <w:p w14:paraId="79A0AAB4" w14:textId="77777777" w:rsidR="000839C0" w:rsidRPr="000839C0" w:rsidRDefault="000839C0" w:rsidP="000839C0">
      <w:pPr>
        <w:pStyle w:val="Brdtekst"/>
      </w:pPr>
      <w:r w:rsidRPr="000839C0">
        <w:t xml:space="preserve">Som del af initiativ 1.3 under den fællesoffentlige digitaliseringsstrategi skal der etableres et Virksomhedsoverblik, som testes i en pilot ultimo 2019. </w:t>
      </w:r>
    </w:p>
    <w:p w14:paraId="23C1B17B" w14:textId="0CC2C5A1" w:rsidR="000839C0" w:rsidRDefault="000839C0" w:rsidP="000839C0">
      <w:pPr>
        <w:pStyle w:val="Brdtekst"/>
      </w:pPr>
      <w:r w:rsidRPr="000839C0">
        <w:t xml:space="preserve">Virksomhedsoverblikket skal give virksomheder et samlet overblik på tværs af myndigheder over fx aktuelle tilladelser, verserende ansøgninger, opgaver de skal løse ift. myndighederne etc. </w:t>
      </w:r>
    </w:p>
    <w:p w14:paraId="5C43BB3C" w14:textId="0C5DE46E" w:rsidR="0057116C" w:rsidRPr="0057116C" w:rsidRDefault="0064717F" w:rsidP="00787533">
      <w:pPr>
        <w:pStyle w:val="Brdtekst"/>
      </w:pPr>
      <w:r w:rsidRPr="000839C0">
        <w:t>På virksomhedsområdet bygges løsningen</w:t>
      </w:r>
      <w:r w:rsidR="000839C0">
        <w:t xml:space="preserve"> direkte</w:t>
      </w:r>
      <w:r w:rsidRPr="000839C0">
        <w:t xml:space="preserve"> </w:t>
      </w:r>
      <w:r w:rsidR="000839C0">
        <w:t>ind i</w:t>
      </w:r>
      <w:r w:rsidRPr="000839C0">
        <w:t xml:space="preserve"> VIRK, mens den på borgerområdet bygges løst koblet</w:t>
      </w:r>
      <w:r w:rsidR="000839C0">
        <w:t xml:space="preserve">. Som en anden væsentlig forskel </w:t>
      </w:r>
      <w:r w:rsidRPr="000839C0">
        <w:t>opbevarer man</w:t>
      </w:r>
      <w:r w:rsidR="000839C0">
        <w:t xml:space="preserve"> på virksomhedsområdet</w:t>
      </w:r>
      <w:r w:rsidRPr="000839C0">
        <w:t xml:space="preserve"> data i </w:t>
      </w:r>
      <w:r w:rsidR="000839C0">
        <w:t>orkestreringskomponenten</w:t>
      </w:r>
      <w:r w:rsidRPr="000839C0">
        <w:t>, mens man på borgerområdet ikke opbevarer data</w:t>
      </w:r>
      <w:r w:rsidR="000839C0">
        <w:t xml:space="preserve"> i selve komponenten.</w:t>
      </w:r>
    </w:p>
    <w:p w14:paraId="64DCE263" w14:textId="77777777" w:rsidR="007B6E2E" w:rsidRPr="00F81E36" w:rsidRDefault="00E80DA7">
      <w:pPr>
        <w:pStyle w:val="Overskrift1"/>
      </w:pPr>
      <w:r w:rsidRPr="00F81E36">
        <w:t>Anbefalinger</w:t>
      </w:r>
      <w:bookmarkEnd w:id="8"/>
    </w:p>
    <w:p w14:paraId="08E5CE9A" w14:textId="5BEF0BC6" w:rsidR="007B6E2E" w:rsidRDefault="00E80DA7">
      <w:r w:rsidRPr="00F81E36">
        <w:t xml:space="preserve">Reviewet af </w:t>
      </w:r>
      <w:r w:rsidR="00E32E6F" w:rsidRPr="00787533">
        <w:rPr>
          <w:i/>
        </w:rPr>
        <w:t>Orkestreringskomponenterne for Borger.dk og Virk.dk</w:t>
      </w:r>
      <w:r w:rsidRPr="00F81E36">
        <w:t xml:space="preserve"> har identificeret en række anbefalinger, der fremstår i to kategorier:</w:t>
      </w:r>
    </w:p>
    <w:p w14:paraId="7333AD3A" w14:textId="77777777" w:rsidR="007B6E2E" w:rsidRDefault="00E80DA7" w:rsidP="006E21E5">
      <w:pPr>
        <w:numPr>
          <w:ilvl w:val="0"/>
          <w:numId w:val="1"/>
        </w:numPr>
        <w:spacing w:after="0"/>
        <w:ind w:left="567" w:hanging="567"/>
        <w:contextualSpacing/>
      </w:pPr>
      <w:r>
        <w:t>Anbefalinger til det nuværende projekt: Herunder fremstår anbefalinger til projektet i dets nuværende og kommende faser, som det er præsenteret for reviewboardet.</w:t>
      </w:r>
    </w:p>
    <w:p w14:paraId="20898E9F" w14:textId="77777777" w:rsidR="007B6E2E" w:rsidRDefault="00E80DA7" w:rsidP="006E21E5">
      <w:pPr>
        <w:numPr>
          <w:ilvl w:val="0"/>
          <w:numId w:val="1"/>
        </w:numPr>
        <w:spacing w:after="0"/>
        <w:ind w:left="567" w:hanging="567"/>
        <w:contextualSpacing/>
      </w:pPr>
      <w:r>
        <w:t xml:space="preserve">Tværgående anbefalinger: Disse anbefalinger identificeres af reviewboardet som centrale og relevante for projektets fremtidige succes, men samtidig af en sådan karakter, at disse udfordringer ikke kan løses af projektet isoleret set. </w:t>
      </w:r>
    </w:p>
    <w:p w14:paraId="337212F5" w14:textId="2AC9ECFA" w:rsidR="00E23154" w:rsidRDefault="00E80DA7">
      <w:r>
        <w:br/>
        <w:t xml:space="preserve">For så vidt angår anbefalinger </w:t>
      </w:r>
      <w:r w:rsidR="00884D5E">
        <w:t>til de nuværende projekt</w:t>
      </w:r>
      <w:r w:rsidR="00E32E6F">
        <w:t>er</w:t>
      </w:r>
      <w:r>
        <w:t xml:space="preserve"> anmodes projekte</w:t>
      </w:r>
      <w:r w:rsidR="00E32E6F">
        <w:t>rne</w:t>
      </w:r>
      <w:r>
        <w:t xml:space="preserve"> om at </w:t>
      </w:r>
      <w:r w:rsidR="00EE1CD1">
        <w:t>imødekomme</w:t>
      </w:r>
      <w:r>
        <w:t xml:space="preserve"> disse ud fra følg-eller-forklar princippet </w:t>
      </w:r>
      <w:r w:rsidR="006E21E5">
        <w:t>i deres bemærkninger til review</w:t>
      </w:r>
      <w:r>
        <w:t xml:space="preserve">rapporten samlet i en handlingsplan. </w:t>
      </w:r>
    </w:p>
    <w:p w14:paraId="583129AD" w14:textId="58D7374F" w:rsidR="007B6E2E" w:rsidRDefault="00E80DA7">
      <w:r>
        <w:t>For</w:t>
      </w:r>
      <w:r w:rsidR="009C0C23">
        <w:t xml:space="preserve"> tværgående</w:t>
      </w:r>
      <w:r>
        <w:t xml:space="preserve"> anbefalinger, udarbejder sekretariatet for initiativ 8.1 beslutningsoplæg</w:t>
      </w:r>
      <w:r w:rsidR="00E23154">
        <w:t>, som ligeledes</w:t>
      </w:r>
      <w:r>
        <w:t xml:space="preserve"> indgår ligeledes i styregruppen for data og arkitekturs behandling af reviewet.</w:t>
      </w:r>
    </w:p>
    <w:p w14:paraId="7118A95C" w14:textId="1F9506F8" w:rsidR="007B6E2E" w:rsidRDefault="00E80DA7">
      <w:pPr>
        <w:pStyle w:val="Overskrift2"/>
      </w:pPr>
      <w:bookmarkStart w:id="9" w:name="_4d34og8" w:colFirst="0" w:colLast="0"/>
      <w:bookmarkStart w:id="10" w:name="_Toc24117855"/>
      <w:bookmarkEnd w:id="9"/>
      <w:r>
        <w:t>Anbefalinger til de nuværende projekt</w:t>
      </w:r>
      <w:bookmarkEnd w:id="10"/>
      <w:r w:rsidR="00E32E6F">
        <w:t>er</w:t>
      </w:r>
    </w:p>
    <w:p w14:paraId="5A26349E" w14:textId="1526EC93" w:rsidR="00155B6B" w:rsidRDefault="00E80DA7">
      <w:pPr>
        <w:rPr>
          <w:b/>
        </w:rPr>
      </w:pPr>
      <w:r>
        <w:rPr>
          <w:b/>
        </w:rPr>
        <w:br/>
        <w:t xml:space="preserve">1. </w:t>
      </w:r>
      <w:r w:rsidR="00422C6B">
        <w:rPr>
          <w:b/>
        </w:rPr>
        <w:t>Det anbe</w:t>
      </w:r>
      <w:r w:rsidR="00155B6B">
        <w:rPr>
          <w:b/>
        </w:rPr>
        <w:t xml:space="preserve">fales, at </w:t>
      </w:r>
      <w:r w:rsidR="00FF6795">
        <w:rPr>
          <w:b/>
        </w:rPr>
        <w:t>projekte</w:t>
      </w:r>
      <w:r w:rsidR="001C6ADA">
        <w:rPr>
          <w:b/>
        </w:rPr>
        <w:t>rne</w:t>
      </w:r>
      <w:r w:rsidR="00FF6795">
        <w:rPr>
          <w:b/>
        </w:rPr>
        <w:t xml:space="preserve"> orientere</w:t>
      </w:r>
      <w:r w:rsidR="00AA3F6D">
        <w:rPr>
          <w:b/>
        </w:rPr>
        <w:t>r</w:t>
      </w:r>
      <w:r w:rsidR="00FF6795">
        <w:rPr>
          <w:b/>
        </w:rPr>
        <w:t xml:space="preserve"> sig i relevante FDA produkter, med henblik på at anvende fællesoffentlige begreber og modeller</w:t>
      </w:r>
      <w:r w:rsidR="00F35CA4">
        <w:rPr>
          <w:b/>
        </w:rPr>
        <w:t>.</w:t>
      </w:r>
      <w:bookmarkStart w:id="11" w:name="_GoBack"/>
      <w:bookmarkEnd w:id="11"/>
    </w:p>
    <w:p w14:paraId="350ABB77" w14:textId="57B7409D" w:rsidR="008C7FA9" w:rsidRPr="00817882" w:rsidRDefault="00B25FEA">
      <w:pPr>
        <w:rPr>
          <w:i/>
        </w:rPr>
      </w:pPr>
      <w:r w:rsidRPr="00817882">
        <w:lastRenderedPageBreak/>
        <w:t>Anbefalingen er motiveret af arkitekturreglerne</w:t>
      </w:r>
      <w:r w:rsidRPr="00817882">
        <w:rPr>
          <w:i/>
        </w:rPr>
        <w:t xml:space="preserve"> </w:t>
      </w:r>
      <w:r w:rsidR="00817882" w:rsidRPr="00817882">
        <w:rPr>
          <w:i/>
        </w:rPr>
        <w:t>AR 1.3</w:t>
      </w:r>
      <w:r w:rsidRPr="00817882">
        <w:rPr>
          <w:i/>
        </w:rPr>
        <w:t xml:space="preserve"> </w:t>
      </w:r>
      <w:r w:rsidR="00817882" w:rsidRPr="00817882">
        <w:rPr>
          <w:i/>
        </w:rPr>
        <w:t>–</w:t>
      </w:r>
      <w:r w:rsidR="008C7FA9" w:rsidRPr="00817882">
        <w:rPr>
          <w:i/>
        </w:rPr>
        <w:t xml:space="preserve"> </w:t>
      </w:r>
      <w:r w:rsidR="00817882" w:rsidRPr="00817882">
        <w:rPr>
          <w:i/>
        </w:rPr>
        <w:t>Anvend fælles ramme for beskrivelse af arkitekturen</w:t>
      </w:r>
      <w:r w:rsidRPr="00817882">
        <w:t xml:space="preserve"> og</w:t>
      </w:r>
      <w:r w:rsidR="005F4E5D" w:rsidRPr="00817882">
        <w:t xml:space="preserve"> </w:t>
      </w:r>
      <w:r w:rsidRPr="00817882">
        <w:rPr>
          <w:i/>
        </w:rPr>
        <w:t>AR 2.1 -</w:t>
      </w:r>
      <w:r w:rsidR="005F4E5D" w:rsidRPr="00817882">
        <w:rPr>
          <w:i/>
        </w:rPr>
        <w:t xml:space="preserve"> Anvend og udbyg den fællesoffentlige arkitektur</w:t>
      </w:r>
      <w:r w:rsidRPr="00817882">
        <w:rPr>
          <w:i/>
        </w:rPr>
        <w:t>.</w:t>
      </w:r>
    </w:p>
    <w:p w14:paraId="540B95E6" w14:textId="0CEB081E" w:rsidR="00FF6795" w:rsidRPr="002E3003" w:rsidRDefault="00223DCF" w:rsidP="00642505">
      <w:r>
        <w:t>Reviewboardet vurdere</w:t>
      </w:r>
      <w:r w:rsidR="00B01838">
        <w:t>r,</w:t>
      </w:r>
      <w:r>
        <w:t xml:space="preserve"> at det ville være gavnligt, både for projekte</w:t>
      </w:r>
      <w:r w:rsidR="001C6ADA">
        <w:t>rne</w:t>
      </w:r>
      <w:r>
        <w:t xml:space="preserve"> og for </w:t>
      </w:r>
      <w:r w:rsidR="001C6ADA">
        <w:t xml:space="preserve">deres </w:t>
      </w:r>
      <w:r>
        <w:t>samarbejdspartnere at anvende fælles</w:t>
      </w:r>
      <w:r w:rsidR="00817882">
        <w:t xml:space="preserve"> </w:t>
      </w:r>
      <w:r>
        <w:t xml:space="preserve">begreber fra de mest relevante produkter fra den fællesoffentlige digitale arkitektur. </w:t>
      </w:r>
      <w:r w:rsidR="002E3003">
        <w:t>Herunder referencearkitekturene for deling af data og dokumenter, -brugerstyring, -selvbetjening og den kommende referencearkitektur for digitale overblik. Ud over referencearkitekturene kan projektet med fordel orientere sig i retningslinjer for webservices v0.9</w:t>
      </w:r>
      <w:r w:rsidR="00E32E6F">
        <w:t>, der ligger i et udkast til afprøvning</w:t>
      </w:r>
      <w:r w:rsidR="002E3003">
        <w:t xml:space="preserve">. </w:t>
      </w:r>
    </w:p>
    <w:p w14:paraId="136B0DEF" w14:textId="6A60D440" w:rsidR="008C7FA9" w:rsidRDefault="008C7FA9" w:rsidP="008C7FA9">
      <w:pPr>
        <w:rPr>
          <w:b/>
        </w:rPr>
      </w:pPr>
      <w:r>
        <w:rPr>
          <w:b/>
        </w:rPr>
        <w:t xml:space="preserve">2. </w:t>
      </w:r>
      <w:r w:rsidRPr="00E52915">
        <w:rPr>
          <w:b/>
        </w:rPr>
        <w:t>Det anbefales, at</w:t>
      </w:r>
      <w:r>
        <w:rPr>
          <w:b/>
        </w:rPr>
        <w:t xml:space="preserve"> </w:t>
      </w:r>
      <w:r w:rsidR="00FF6795">
        <w:rPr>
          <w:b/>
        </w:rPr>
        <w:t>projekte</w:t>
      </w:r>
      <w:r w:rsidR="005B7B58">
        <w:rPr>
          <w:b/>
        </w:rPr>
        <w:t>rne</w:t>
      </w:r>
      <w:r w:rsidR="00FF6795">
        <w:rPr>
          <w:b/>
        </w:rPr>
        <w:t xml:space="preserve"> beskriver en governance der kan håndtere</w:t>
      </w:r>
      <w:r w:rsidR="00E32E6F">
        <w:rPr>
          <w:b/>
        </w:rPr>
        <w:t xml:space="preserve"> dels</w:t>
      </w:r>
      <w:r w:rsidR="00FF6795">
        <w:rPr>
          <w:b/>
        </w:rPr>
        <w:t xml:space="preserve"> flere </w:t>
      </w:r>
      <w:r w:rsidR="00E32E6F">
        <w:rPr>
          <w:b/>
        </w:rPr>
        <w:t xml:space="preserve">aftagere </w:t>
      </w:r>
      <w:r w:rsidR="00FF6795">
        <w:rPr>
          <w:b/>
        </w:rPr>
        <w:t>af</w:t>
      </w:r>
      <w:r w:rsidR="00E32E6F">
        <w:rPr>
          <w:b/>
        </w:rPr>
        <w:t xml:space="preserve"> overbliksdata fra</w:t>
      </w:r>
      <w:r w:rsidR="00FF6795">
        <w:rPr>
          <w:b/>
        </w:rPr>
        <w:t xml:space="preserve"> orkestreringskomponente</w:t>
      </w:r>
      <w:r w:rsidR="00E32E6F">
        <w:rPr>
          <w:b/>
        </w:rPr>
        <w:t>rne</w:t>
      </w:r>
      <w:r w:rsidR="005B7B58">
        <w:rPr>
          <w:b/>
        </w:rPr>
        <w:t xml:space="preserve"> end borger.dk og virk.dk</w:t>
      </w:r>
      <w:r w:rsidR="00FF6795">
        <w:rPr>
          <w:b/>
        </w:rPr>
        <w:t xml:space="preserve"> og </w:t>
      </w:r>
      <w:r w:rsidR="00E32E6F">
        <w:rPr>
          <w:b/>
        </w:rPr>
        <w:t xml:space="preserve">dels </w:t>
      </w:r>
      <w:r w:rsidR="00FF6795">
        <w:rPr>
          <w:b/>
        </w:rPr>
        <w:t>én eller flere kilder til samme data</w:t>
      </w:r>
      <w:r w:rsidR="005B7B58">
        <w:rPr>
          <w:b/>
        </w:rPr>
        <w:t>type</w:t>
      </w:r>
      <w:r w:rsidR="00263FA5">
        <w:rPr>
          <w:b/>
        </w:rPr>
        <w:t>. Den beskrevne governance bør yderligere kunne håndtere</w:t>
      </w:r>
      <w:r w:rsidR="00FF6795">
        <w:rPr>
          <w:b/>
        </w:rPr>
        <w:t xml:space="preserve"> fælles begrebs- og datamode</w:t>
      </w:r>
      <w:r w:rsidR="00263FA5">
        <w:rPr>
          <w:b/>
        </w:rPr>
        <w:t>l</w:t>
      </w:r>
      <w:r w:rsidR="00FF6795">
        <w:rPr>
          <w:b/>
        </w:rPr>
        <w:t>l</w:t>
      </w:r>
      <w:r w:rsidR="00263FA5">
        <w:rPr>
          <w:b/>
        </w:rPr>
        <w:t>er</w:t>
      </w:r>
      <w:r w:rsidRPr="00E52915">
        <w:rPr>
          <w:b/>
        </w:rPr>
        <w:t>.</w:t>
      </w:r>
      <w:r>
        <w:rPr>
          <w:b/>
        </w:rPr>
        <w:t xml:space="preserve"> </w:t>
      </w:r>
    </w:p>
    <w:p w14:paraId="1FA4CFE0" w14:textId="751449A6" w:rsidR="00B25FEA" w:rsidRPr="00BD3206" w:rsidRDefault="00B25FEA" w:rsidP="008C7FA9">
      <w:r w:rsidRPr="00BD3206">
        <w:t>Anbefalingen er motiveret af arkitekturreglerne</w:t>
      </w:r>
      <w:r w:rsidRPr="00BD3206">
        <w:rPr>
          <w:i/>
        </w:rPr>
        <w:t xml:space="preserve"> </w:t>
      </w:r>
      <w:r w:rsidR="00BD3206" w:rsidRPr="00BD3206">
        <w:rPr>
          <w:i/>
        </w:rPr>
        <w:t>AR 2.4</w:t>
      </w:r>
      <w:r w:rsidRPr="00BD3206">
        <w:rPr>
          <w:i/>
        </w:rPr>
        <w:t xml:space="preserve"> </w:t>
      </w:r>
      <w:r w:rsidR="00BD3206" w:rsidRPr="00BD3206">
        <w:rPr>
          <w:i/>
        </w:rPr>
        <w:t>–</w:t>
      </w:r>
      <w:r w:rsidRPr="00BD3206">
        <w:rPr>
          <w:i/>
        </w:rPr>
        <w:t xml:space="preserve"> </w:t>
      </w:r>
      <w:r w:rsidR="00BD3206" w:rsidRPr="00BD3206">
        <w:rPr>
          <w:i/>
        </w:rPr>
        <w:t>Byg med udgangspunkt i brugeren og forberedt til forandring</w:t>
      </w:r>
      <w:r w:rsidR="006C5A08">
        <w:t>,</w:t>
      </w:r>
      <w:r w:rsidRPr="00BD3206">
        <w:t xml:space="preserve"> </w:t>
      </w:r>
      <w:r w:rsidRPr="00BD3206">
        <w:rPr>
          <w:i/>
        </w:rPr>
        <w:t xml:space="preserve">AR </w:t>
      </w:r>
      <w:r w:rsidR="00BD3206" w:rsidRPr="00BD3206">
        <w:rPr>
          <w:i/>
        </w:rPr>
        <w:t>5</w:t>
      </w:r>
      <w:r w:rsidRPr="00BD3206">
        <w:rPr>
          <w:i/>
        </w:rPr>
        <w:t xml:space="preserve">.2 - Optimér </w:t>
      </w:r>
      <w:r w:rsidR="00BD3206" w:rsidRPr="00BD3206">
        <w:rPr>
          <w:i/>
        </w:rPr>
        <w:t>tværgående processer efter</w:t>
      </w:r>
      <w:r w:rsidRPr="00BD3206">
        <w:rPr>
          <w:i/>
        </w:rPr>
        <w:t xml:space="preserve"> fælles mål</w:t>
      </w:r>
      <w:r w:rsidR="006C5A08">
        <w:t xml:space="preserve"> og </w:t>
      </w:r>
      <w:r w:rsidR="006C5A08" w:rsidRPr="006C5A08">
        <w:rPr>
          <w:i/>
        </w:rPr>
        <w:t>AR 6.4 – Udstil oplysninger om datakilder, begreber og datamodeller</w:t>
      </w:r>
    </w:p>
    <w:p w14:paraId="298F1B69" w14:textId="1C551F95" w:rsidR="00255306" w:rsidRPr="00255306" w:rsidRDefault="00B01838" w:rsidP="00687793">
      <w:r w:rsidRPr="00B01838">
        <w:t>Reviewboardet vurdere</w:t>
      </w:r>
      <w:r>
        <w:t>r,</w:t>
      </w:r>
      <w:r w:rsidRPr="00B01838">
        <w:t xml:space="preserve"> at</w:t>
      </w:r>
      <w:r>
        <w:t xml:space="preserve"> projekte</w:t>
      </w:r>
      <w:r w:rsidR="001C6ADA">
        <w:t>rne</w:t>
      </w:r>
      <w:r w:rsidR="005B7B58">
        <w:t xml:space="preserve"> med fordel</w:t>
      </w:r>
      <w:r>
        <w:t xml:space="preserve"> kan beskrive</w:t>
      </w:r>
      <w:r w:rsidR="005B7B58">
        <w:t xml:space="preserve"> forskellige </w:t>
      </w:r>
      <w:proofErr w:type="spellStart"/>
      <w:r w:rsidR="005B7B58">
        <w:t>anvendelsescenarier</w:t>
      </w:r>
      <w:proofErr w:type="spellEnd"/>
      <w:r w:rsidR="005B7B58">
        <w:t xml:space="preserve"> for </w:t>
      </w:r>
      <w:proofErr w:type="spellStart"/>
      <w:r w:rsidR="005B7B58">
        <w:t>orkestereringskomponenterne</w:t>
      </w:r>
      <w:proofErr w:type="spellEnd"/>
      <w:r w:rsidR="005B7B58">
        <w:t>, samt</w:t>
      </w:r>
      <w:r>
        <w:t xml:space="preserve"> de</w:t>
      </w:r>
      <w:r w:rsidR="008A64F0">
        <w:t>n</w:t>
      </w:r>
      <w:r>
        <w:t xml:space="preserve"> </w:t>
      </w:r>
      <w:r w:rsidR="008A64F0">
        <w:t>governance, de</w:t>
      </w:r>
      <w:r w:rsidR="005B7B58">
        <w:t>t vil kræve at håndtere de forskellige scenarier</w:t>
      </w:r>
      <w:r w:rsidR="008A64F0">
        <w:t xml:space="preserve">. </w:t>
      </w:r>
      <w:r w:rsidR="005B7B58">
        <w:t xml:space="preserve">Eksempelvis er der forskel på om MIT overblik/VIRK er de eneste brugere af orkestreringskomponenterne, eller om der er flere overbliksløsninger som anvender og sætter krav til hvilke data der kan tilgås via orkestreringskomponenten. Det samme gøre sig gældende på dataleverandørsiden, hvor der vil være behov for en tydelig governance omkring levering af data til orkestreringskomponenterne. Eksempelvis i tilfælde hvor der er flere leverandører af samme </w:t>
      </w:r>
      <w:r w:rsidR="00224A6F">
        <w:t xml:space="preserve">type </w:t>
      </w:r>
      <w:r w:rsidR="005B7B58">
        <w:t>data.</w:t>
      </w:r>
    </w:p>
    <w:p w14:paraId="51589ED6" w14:textId="08A961E9" w:rsidR="00611391" w:rsidRPr="00BD3206" w:rsidRDefault="008C7FA9" w:rsidP="00546FB1">
      <w:pPr>
        <w:rPr>
          <w:b/>
        </w:rPr>
      </w:pPr>
      <w:r>
        <w:rPr>
          <w:b/>
        </w:rPr>
        <w:t>3</w:t>
      </w:r>
      <w:r w:rsidR="00546FB1">
        <w:rPr>
          <w:b/>
        </w:rPr>
        <w:t xml:space="preserve">. Det anbefales, at </w:t>
      </w:r>
      <w:r w:rsidR="00FF6795">
        <w:rPr>
          <w:b/>
        </w:rPr>
        <w:t>sikkerheden i løsninge</w:t>
      </w:r>
      <w:r w:rsidR="00263FA5">
        <w:rPr>
          <w:b/>
        </w:rPr>
        <w:t>rne</w:t>
      </w:r>
      <w:r w:rsidR="00FF6795">
        <w:rPr>
          <w:b/>
        </w:rPr>
        <w:t xml:space="preserve"> adresseres tidligt i projektet og besk</w:t>
      </w:r>
      <w:r w:rsidR="00FF6795" w:rsidRPr="00BD3206">
        <w:rPr>
          <w:b/>
        </w:rPr>
        <w:t>rives tydeligt.</w:t>
      </w:r>
    </w:p>
    <w:p w14:paraId="4D0787AC" w14:textId="60FB2E49" w:rsidR="00B25FEA" w:rsidRPr="00BD3206" w:rsidRDefault="00B25FEA" w:rsidP="00E75515">
      <w:r w:rsidRPr="00BD3206">
        <w:t>Anbefalingen er motiveret af arkitekturreglerne</w:t>
      </w:r>
      <w:r w:rsidRPr="00BD3206">
        <w:rPr>
          <w:i/>
        </w:rPr>
        <w:t xml:space="preserve"> AR </w:t>
      </w:r>
      <w:r w:rsidR="00BD3206" w:rsidRPr="00BD3206">
        <w:rPr>
          <w:i/>
        </w:rPr>
        <w:t>4</w:t>
      </w:r>
      <w:r w:rsidRPr="00BD3206">
        <w:rPr>
          <w:i/>
        </w:rPr>
        <w:t>.</w:t>
      </w:r>
      <w:r w:rsidR="00BD3206" w:rsidRPr="00BD3206">
        <w:rPr>
          <w:i/>
        </w:rPr>
        <w:t>1</w:t>
      </w:r>
      <w:r w:rsidRPr="00BD3206">
        <w:rPr>
          <w:i/>
        </w:rPr>
        <w:t xml:space="preserve"> </w:t>
      </w:r>
      <w:r w:rsidR="00BD3206" w:rsidRPr="00BD3206">
        <w:rPr>
          <w:i/>
        </w:rPr>
        <w:t>–</w:t>
      </w:r>
      <w:r w:rsidRPr="00BD3206">
        <w:rPr>
          <w:i/>
        </w:rPr>
        <w:t xml:space="preserve"> </w:t>
      </w:r>
      <w:r w:rsidR="00BD3206" w:rsidRPr="00BD3206">
        <w:rPr>
          <w:i/>
        </w:rPr>
        <w:t>Opfyld krav til informationssikkerhed og privatlivsbeskyttelse</w:t>
      </w:r>
      <w:r w:rsidRPr="00BD3206">
        <w:t xml:space="preserve"> og </w:t>
      </w:r>
      <w:r w:rsidRPr="00BD3206">
        <w:rPr>
          <w:i/>
        </w:rPr>
        <w:t xml:space="preserve">AR </w:t>
      </w:r>
      <w:r w:rsidR="00BD3206" w:rsidRPr="00BD3206">
        <w:rPr>
          <w:i/>
        </w:rPr>
        <w:t>4.2</w:t>
      </w:r>
      <w:r w:rsidRPr="00BD3206">
        <w:rPr>
          <w:i/>
        </w:rPr>
        <w:t xml:space="preserve"> </w:t>
      </w:r>
      <w:r w:rsidR="00BD3206" w:rsidRPr="00BD3206">
        <w:rPr>
          <w:i/>
        </w:rPr>
        <w:t>–</w:t>
      </w:r>
      <w:r w:rsidRPr="00BD3206">
        <w:rPr>
          <w:i/>
        </w:rPr>
        <w:t xml:space="preserve"> </w:t>
      </w:r>
      <w:r w:rsidR="00BD3206" w:rsidRPr="00BD3206">
        <w:rPr>
          <w:i/>
        </w:rPr>
        <w:t>Anvend fælles arkitektur for informationssikkerhed</w:t>
      </w:r>
      <w:r w:rsidRPr="00BD3206">
        <w:rPr>
          <w:i/>
        </w:rPr>
        <w:t>.</w:t>
      </w:r>
    </w:p>
    <w:p w14:paraId="66DDE44E" w14:textId="651DE5C2" w:rsidR="00687793" w:rsidRPr="00687793" w:rsidRDefault="00687793" w:rsidP="00305752">
      <w:r w:rsidRPr="00687793">
        <w:t>Reviewboardet vurderer, at der er behov for at sikkerhed</w:t>
      </w:r>
      <w:r>
        <w:t xml:space="preserve"> beskrives tyd</w:t>
      </w:r>
      <w:r w:rsidR="0079783C">
        <w:t>eligt og snart. Orkestreringskomponente</w:t>
      </w:r>
      <w:r w:rsidR="00263FA5">
        <w:t>rne</w:t>
      </w:r>
      <w:r w:rsidR="0079783C">
        <w:t xml:space="preserve"> kommer til at håndtere følsom data, og en god beskrivelse af de relevante sikkerheds</w:t>
      </w:r>
      <w:r w:rsidR="00517CBF">
        <w:t>udfordringer</w:t>
      </w:r>
      <w:r w:rsidR="0079783C">
        <w:t xml:space="preserve"> og </w:t>
      </w:r>
      <w:r w:rsidR="00517CBF">
        <w:t>foreslåede løsninger er vigtigt</w:t>
      </w:r>
      <w:r w:rsidR="0079783C">
        <w:t>.</w:t>
      </w:r>
      <w:r w:rsidR="00517CBF">
        <w:t xml:space="preserve"> Dette kan eksempelvis gøres ved at udarbejde en sikkerhedsmodel.</w:t>
      </w:r>
    </w:p>
    <w:p w14:paraId="59248395" w14:textId="6253007E" w:rsidR="00B25FEA" w:rsidRPr="00B25FEA" w:rsidRDefault="008C7FA9" w:rsidP="00305752">
      <w:pPr>
        <w:rPr>
          <w:b/>
        </w:rPr>
      </w:pPr>
      <w:r>
        <w:rPr>
          <w:b/>
        </w:rPr>
        <w:t>4</w:t>
      </w:r>
      <w:r w:rsidR="00305752">
        <w:rPr>
          <w:b/>
        </w:rPr>
        <w:t xml:space="preserve">. </w:t>
      </w:r>
      <w:r w:rsidR="00305752" w:rsidRPr="00EA3C6F">
        <w:rPr>
          <w:b/>
        </w:rPr>
        <w:t xml:space="preserve">Det anbefales, at </w:t>
      </w:r>
      <w:r w:rsidR="00413A0E">
        <w:rPr>
          <w:b/>
        </w:rPr>
        <w:t>da</w:t>
      </w:r>
      <w:r w:rsidR="005E5F19">
        <w:rPr>
          <w:b/>
        </w:rPr>
        <w:t>ta der er opbevaret i en orkest</w:t>
      </w:r>
      <w:r w:rsidR="00413A0E">
        <w:rPr>
          <w:b/>
        </w:rPr>
        <w:t>r</w:t>
      </w:r>
      <w:r w:rsidR="005E5F19">
        <w:rPr>
          <w:b/>
        </w:rPr>
        <w:t>er</w:t>
      </w:r>
      <w:r w:rsidR="00413A0E">
        <w:rPr>
          <w:b/>
        </w:rPr>
        <w:t>ingskomponent</w:t>
      </w:r>
      <w:r w:rsidR="00263FA5">
        <w:rPr>
          <w:b/>
        </w:rPr>
        <w:t>erne</w:t>
      </w:r>
      <w:r w:rsidR="00413A0E">
        <w:rPr>
          <w:b/>
        </w:rPr>
        <w:t xml:space="preserve"> holdes krypteret, indtil en </w:t>
      </w:r>
      <w:r w:rsidR="00263FA5">
        <w:rPr>
          <w:b/>
        </w:rPr>
        <w:t>slutbruger</w:t>
      </w:r>
      <w:r w:rsidR="001C6ADA">
        <w:rPr>
          <w:b/>
        </w:rPr>
        <w:t xml:space="preserve"> retmæssigt</w:t>
      </w:r>
      <w:r w:rsidR="00413A0E">
        <w:rPr>
          <w:b/>
        </w:rPr>
        <w:t xml:space="preserve"> efterspørger den. </w:t>
      </w:r>
      <w:r w:rsidR="00305752" w:rsidRPr="00EA3C6F">
        <w:rPr>
          <w:b/>
        </w:rPr>
        <w:t xml:space="preserve"> </w:t>
      </w:r>
    </w:p>
    <w:p w14:paraId="17C8DD75" w14:textId="0FE48043" w:rsidR="00BD3206" w:rsidRDefault="00BD3206" w:rsidP="00305752">
      <w:r w:rsidRPr="00BD3206">
        <w:t>Anbefalingen er motiveret af arkitekturreglerne</w:t>
      </w:r>
      <w:r w:rsidRPr="00BD3206">
        <w:rPr>
          <w:i/>
        </w:rPr>
        <w:t xml:space="preserve"> AR 4.1 – Opfyld krav til informationssikkerhed og privatlivsbeskyttelse</w:t>
      </w:r>
      <w:r>
        <w:rPr>
          <w:i/>
        </w:rPr>
        <w:t>.</w:t>
      </w:r>
      <w:r w:rsidRPr="00BD3206">
        <w:t xml:space="preserve"> </w:t>
      </w:r>
    </w:p>
    <w:p w14:paraId="7CA0F66A" w14:textId="6E12BEF3" w:rsidR="00517CBF" w:rsidRPr="00517CBF" w:rsidRDefault="00517CBF" w:rsidP="00305752">
      <w:r>
        <w:t>I det</w:t>
      </w:r>
      <w:r w:rsidR="0034131F">
        <w:t xml:space="preserve"> omfang</w:t>
      </w:r>
      <w:r>
        <w:t xml:space="preserve"> orkestreringskomponenten </w:t>
      </w:r>
      <w:r w:rsidR="0034131F">
        <w:t xml:space="preserve">designes til at opbevare </w:t>
      </w:r>
      <w:r w:rsidR="007B288E">
        <w:t xml:space="preserve">personhenførbare </w:t>
      </w:r>
      <w:r w:rsidR="0034131F">
        <w:t xml:space="preserve">data, bør det krypteres på en sådan måde at de kun kan </w:t>
      </w:r>
      <w:r w:rsidR="0054654A">
        <w:t xml:space="preserve">tilgås når en slutbruger </w:t>
      </w:r>
      <w:r w:rsidR="001C6ADA">
        <w:t xml:space="preserve">retmæssigt </w:t>
      </w:r>
      <w:r w:rsidR="0054654A">
        <w:t xml:space="preserve">anmoder om data. </w:t>
      </w:r>
      <w:r w:rsidR="00213547">
        <w:t>Hvis en teknologisk løsning ikke er praktisk forsvarlig, kan en alternativ organisatorisk løsning med samme formål eventuelt udforskes.</w:t>
      </w:r>
    </w:p>
    <w:p w14:paraId="015F35D7" w14:textId="073B37B1" w:rsidR="00BD3206" w:rsidRPr="00BD3206" w:rsidRDefault="008C7FA9" w:rsidP="00546FB1">
      <w:r>
        <w:rPr>
          <w:b/>
        </w:rPr>
        <w:lastRenderedPageBreak/>
        <w:t>5</w:t>
      </w:r>
      <w:r w:rsidR="00E52915">
        <w:rPr>
          <w:b/>
        </w:rPr>
        <w:t>.</w:t>
      </w:r>
      <w:r w:rsidR="00EA3C6F" w:rsidRPr="00EA3C6F">
        <w:rPr>
          <w:b/>
        </w:rPr>
        <w:t xml:space="preserve"> Det anbefales, at</w:t>
      </w:r>
      <w:r w:rsidR="00286BE8">
        <w:rPr>
          <w:b/>
        </w:rPr>
        <w:t xml:space="preserve"> </w:t>
      </w:r>
      <w:r w:rsidR="00413A0E">
        <w:rPr>
          <w:b/>
        </w:rPr>
        <w:t>projekte</w:t>
      </w:r>
      <w:r w:rsidR="002A7C09">
        <w:rPr>
          <w:b/>
        </w:rPr>
        <w:t>rne</w:t>
      </w:r>
      <w:r w:rsidR="00413A0E">
        <w:rPr>
          <w:b/>
        </w:rPr>
        <w:t xml:space="preserve"> tidligt får afdækket forud</w:t>
      </w:r>
      <w:r w:rsidR="009A2134">
        <w:rPr>
          <w:b/>
        </w:rPr>
        <w:t>sætningerne for levering af data</w:t>
      </w:r>
      <w:r w:rsidR="00413A0E">
        <w:rPr>
          <w:b/>
        </w:rPr>
        <w:t xml:space="preserve"> og får etableret tydelige og koordinerede krav til leverandører af data. </w:t>
      </w:r>
    </w:p>
    <w:p w14:paraId="5A3622C0" w14:textId="2B7B4A39" w:rsidR="005C39A5" w:rsidRPr="009A2134" w:rsidRDefault="00BD3206" w:rsidP="00546FB1">
      <w:pPr>
        <w:rPr>
          <w:highlight w:val="yellow"/>
        </w:rPr>
      </w:pPr>
      <w:r w:rsidRPr="00BD3206">
        <w:t>Anbefalingen er motiveret af arkitekturreglerne</w:t>
      </w:r>
      <w:r w:rsidRPr="00BD3206">
        <w:rPr>
          <w:i/>
        </w:rPr>
        <w:t xml:space="preserve"> AR </w:t>
      </w:r>
      <w:r>
        <w:rPr>
          <w:i/>
        </w:rPr>
        <w:t>7</w:t>
      </w:r>
      <w:r w:rsidRPr="00BD3206">
        <w:rPr>
          <w:i/>
        </w:rPr>
        <w:t xml:space="preserve">.1 – </w:t>
      </w:r>
      <w:r>
        <w:rPr>
          <w:i/>
        </w:rPr>
        <w:t>Design og udstil snitflader efter fælles integrationsmønstre og tekniske standarder.</w:t>
      </w:r>
      <w:r w:rsidRPr="00BD3206">
        <w:t xml:space="preserve"> </w:t>
      </w:r>
    </w:p>
    <w:p w14:paraId="507C1DC7" w14:textId="39752268" w:rsidR="007B288E" w:rsidRPr="007B288E" w:rsidRDefault="007B288E" w:rsidP="009A2134">
      <w:r>
        <w:t xml:space="preserve">For at understøtte en nem implementering og et let samarbejde med dataleverandørerne vurdere reviewboardet at det vil være gavnligt at sætte </w:t>
      </w:r>
      <w:r w:rsidR="00817882">
        <w:t>tydelige og ensartede krav til dataleverandørerne, så de kan forberede sig på at indgå i integrationslaget. Projekte</w:t>
      </w:r>
      <w:r w:rsidR="002A7C09">
        <w:t>rne</w:t>
      </w:r>
      <w:r w:rsidR="00817882">
        <w:t xml:space="preserve"> bør undervejs overveje hvordan de bedst</w:t>
      </w:r>
      <w:r w:rsidR="002A7C09">
        <w:t xml:space="preserve"> og koordineret</w:t>
      </w:r>
      <w:r w:rsidR="00817882">
        <w:t xml:space="preserve"> kan understøtte dataleverandører med at håndtere integration og </w:t>
      </w:r>
      <w:proofErr w:type="spellStart"/>
      <w:r w:rsidR="00817882">
        <w:t>staging</w:t>
      </w:r>
      <w:proofErr w:type="spellEnd"/>
      <w:r w:rsidR="00817882">
        <w:t xml:space="preserve">, så </w:t>
      </w:r>
      <w:r w:rsidR="002A7C09">
        <w:t>orkestreringskomponenterne</w:t>
      </w:r>
      <w:r w:rsidR="00817882">
        <w:t xml:space="preserve">, så vidt muligt, blive værdiskabende for dataleverandører så vel som brugere. </w:t>
      </w:r>
    </w:p>
    <w:p w14:paraId="6B59F6FD" w14:textId="77777777" w:rsidR="001E48B6" w:rsidRDefault="001E48B6" w:rsidP="001E48B6">
      <w:pPr>
        <w:pStyle w:val="Overskrift2"/>
      </w:pPr>
      <w:bookmarkStart w:id="12" w:name="_Toc24117856"/>
      <w:r>
        <w:t>Tværgående Anbefalinger</w:t>
      </w:r>
      <w:bookmarkEnd w:id="12"/>
      <w:r>
        <w:t xml:space="preserve"> </w:t>
      </w:r>
    </w:p>
    <w:p w14:paraId="756531DB" w14:textId="5E6EDDB3" w:rsidR="001E48B6" w:rsidRPr="00E52915" w:rsidRDefault="001E48B6">
      <w:pPr>
        <w:rPr>
          <w:b/>
        </w:rPr>
      </w:pPr>
      <w:r>
        <w:br/>
      </w:r>
      <w:r w:rsidR="00223DCF">
        <w:rPr>
          <w:b/>
        </w:rPr>
        <w:t>6</w:t>
      </w:r>
      <w:r w:rsidRPr="00FD1AF1">
        <w:rPr>
          <w:b/>
        </w:rPr>
        <w:t xml:space="preserve">. </w:t>
      </w:r>
      <w:r w:rsidR="00E52915" w:rsidRPr="00FD1AF1">
        <w:rPr>
          <w:b/>
        </w:rPr>
        <w:t>Det anbefales</w:t>
      </w:r>
      <w:r w:rsidR="007C2AFA" w:rsidRPr="00FD1AF1">
        <w:rPr>
          <w:b/>
        </w:rPr>
        <w:t>,</w:t>
      </w:r>
      <w:r w:rsidR="00E52915" w:rsidRPr="00FD1AF1">
        <w:rPr>
          <w:b/>
        </w:rPr>
        <w:t xml:space="preserve"> at </w:t>
      </w:r>
      <w:r w:rsidR="009A2134">
        <w:rPr>
          <w:b/>
        </w:rPr>
        <w:t xml:space="preserve">der ved </w:t>
      </w:r>
      <w:r w:rsidR="00BD3206">
        <w:rPr>
          <w:b/>
        </w:rPr>
        <w:t xml:space="preserve">fremtidig </w:t>
      </w:r>
      <w:r w:rsidR="009A2134">
        <w:rPr>
          <w:b/>
        </w:rPr>
        <w:t>etableringen af flere orkestreringskomponenter</w:t>
      </w:r>
      <w:r w:rsidR="001C6ADA">
        <w:rPr>
          <w:b/>
        </w:rPr>
        <w:t xml:space="preserve"> end de allerede planlagte,</w:t>
      </w:r>
      <w:r w:rsidR="009A2134">
        <w:rPr>
          <w:b/>
        </w:rPr>
        <w:t xml:space="preserve"> etableres en </w:t>
      </w:r>
      <w:proofErr w:type="spellStart"/>
      <w:r w:rsidR="009A2134">
        <w:rPr>
          <w:b/>
        </w:rPr>
        <w:t>governancestruktur</w:t>
      </w:r>
      <w:proofErr w:type="spellEnd"/>
      <w:r w:rsidR="009A2134">
        <w:rPr>
          <w:b/>
        </w:rPr>
        <w:t xml:space="preserve"> med ansvar for ensartede snitflader, fælles begrebs- og datamodeller</w:t>
      </w:r>
      <w:r w:rsidR="001C6ADA">
        <w:rPr>
          <w:b/>
        </w:rPr>
        <w:t>,</w:t>
      </w:r>
      <w:r w:rsidR="009A2134">
        <w:rPr>
          <w:b/>
        </w:rPr>
        <w:t xml:space="preserve"> fælles sikkerhedsmodeller og ensartede krav til dataleverandører.</w:t>
      </w:r>
    </w:p>
    <w:p w14:paraId="205699A5" w14:textId="5DB5B16B" w:rsidR="00263FA5" w:rsidRPr="00255306" w:rsidRDefault="00BD3206" w:rsidP="00263FA5">
      <w:r>
        <w:t>Hvi</w:t>
      </w:r>
      <w:r w:rsidR="005B1C7C">
        <w:t>s der etableres flere orkestrer</w:t>
      </w:r>
      <w:r>
        <w:t>ingskomponenter bør de være koordinerede i deres snitflader til udstilling af overblik, i deres krav til dataleverandørerne og i deres datamodeller</w:t>
      </w:r>
      <w:r w:rsidR="00263FA5">
        <w:t xml:space="preserve"> som </w:t>
      </w:r>
      <w:proofErr w:type="spellStart"/>
      <w:r w:rsidR="00263FA5">
        <w:t>berevet</w:t>
      </w:r>
      <w:proofErr w:type="spellEnd"/>
      <w:r w:rsidR="00263FA5">
        <w:t xml:space="preserve"> i referencearkitektur for digitalt overblik</w:t>
      </w:r>
      <w:r>
        <w:t xml:space="preserve">. Den opgave kræver en governance med et tydeligt mandat, for at kunne fungere effektivt. </w:t>
      </w:r>
      <w:r w:rsidR="00263FA5">
        <w:t>Governance omkring fælles begrebs- og datamodeller bør beskrives yderligere, blandt andet med henblik på at kunne besvare centrale spørgsmål som: Hvilke skal anvendes? Hvor er de forankret? Og hvordan vedligeholdes de?</w:t>
      </w:r>
    </w:p>
    <w:p w14:paraId="3DF443BC" w14:textId="42C8EAB1" w:rsidR="00BD3206" w:rsidRPr="00BD3206" w:rsidRDefault="00BD3206"/>
    <w:p w14:paraId="5FB56394" w14:textId="77777777" w:rsidR="007C2AFA" w:rsidRPr="00BA2C92" w:rsidRDefault="007C2AFA"/>
    <w:sectPr w:rsidR="007C2AFA" w:rsidRPr="00BA2C92">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0" w:footer="720"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923D83" w16cid:durableId="2177E936"/>
  <w16cid:commentId w16cid:paraId="1C3A20B4" w16cid:durableId="2177E716"/>
  <w16cid:commentId w16cid:paraId="17FE9E99" w16cid:durableId="2177E789"/>
  <w16cid:commentId w16cid:paraId="6834611D" w16cid:durableId="2177E7E9"/>
  <w16cid:commentId w16cid:paraId="58B4CF9F" w16cid:durableId="2177E9E8"/>
  <w16cid:commentId w16cid:paraId="2DDC78A3" w16cid:durableId="2177E8EA"/>
  <w16cid:commentId w16cid:paraId="02BE2134" w16cid:durableId="2177E855"/>
  <w16cid:commentId w16cid:paraId="4B24BE53" w16cid:durableId="2177EA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13826" w14:textId="77777777" w:rsidR="00F525B1" w:rsidRDefault="00F525B1">
      <w:pPr>
        <w:spacing w:after="0" w:line="240" w:lineRule="auto"/>
      </w:pPr>
      <w:r>
        <w:separator/>
      </w:r>
    </w:p>
  </w:endnote>
  <w:endnote w:type="continuationSeparator" w:id="0">
    <w:p w14:paraId="1BD8885D" w14:textId="77777777" w:rsidR="00F525B1" w:rsidRDefault="00F52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DFC94" w14:textId="77777777" w:rsidR="005570EE" w:rsidRDefault="005570E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135AC" w14:textId="77777777" w:rsidR="00AF54E9" w:rsidRPr="005570EE" w:rsidRDefault="00AF54E9" w:rsidP="005570E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E8513" w14:textId="77777777" w:rsidR="005570EE" w:rsidRDefault="005570E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3958A" w14:textId="77777777" w:rsidR="00F525B1" w:rsidRDefault="00F525B1">
      <w:pPr>
        <w:spacing w:after="0" w:line="240" w:lineRule="auto"/>
      </w:pPr>
      <w:r>
        <w:separator/>
      </w:r>
    </w:p>
  </w:footnote>
  <w:footnote w:type="continuationSeparator" w:id="0">
    <w:p w14:paraId="24154F6F" w14:textId="77777777" w:rsidR="00F525B1" w:rsidRDefault="00F52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A2348" w14:textId="77777777" w:rsidR="005570EE" w:rsidRDefault="005570E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CC694" w14:textId="77777777" w:rsidR="00AF54E9" w:rsidRPr="005570EE" w:rsidRDefault="00AF54E9" w:rsidP="005570EE">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F14B8" w14:textId="77777777" w:rsidR="005570EE" w:rsidRDefault="005570E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20A97CE"/>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5860C9B"/>
    <w:multiLevelType w:val="hybridMultilevel"/>
    <w:tmpl w:val="3CC6D9CE"/>
    <w:lvl w:ilvl="0" w:tplc="9DF652D6">
      <w:start w:val="3"/>
      <w:numFmt w:val="bullet"/>
      <w:lvlText w:val="-"/>
      <w:lvlJc w:val="left"/>
      <w:pPr>
        <w:ind w:left="927" w:hanging="360"/>
      </w:pPr>
      <w:rPr>
        <w:rFonts w:ascii="Calibri" w:eastAsiaTheme="minorEastAsia" w:hAnsi="Calibri" w:cs="Calibri"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2" w15:restartNumberingAfterBreak="0">
    <w:nsid w:val="179C604E"/>
    <w:multiLevelType w:val="multilevel"/>
    <w:tmpl w:val="C6449706"/>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3" w15:restartNumberingAfterBreak="0">
    <w:nsid w:val="24C0201F"/>
    <w:multiLevelType w:val="hybridMultilevel"/>
    <w:tmpl w:val="07A6C600"/>
    <w:lvl w:ilvl="0" w:tplc="7BA6F200">
      <w:start w:val="1"/>
      <w:numFmt w:val="bullet"/>
      <w:lvlText w:val="•"/>
      <w:lvlJc w:val="left"/>
      <w:pPr>
        <w:tabs>
          <w:tab w:val="num" w:pos="720"/>
        </w:tabs>
        <w:ind w:left="720" w:hanging="360"/>
      </w:pPr>
      <w:rPr>
        <w:rFonts w:ascii="Arial" w:hAnsi="Arial" w:hint="default"/>
      </w:rPr>
    </w:lvl>
    <w:lvl w:ilvl="1" w:tplc="7E8C3108" w:tentative="1">
      <w:start w:val="1"/>
      <w:numFmt w:val="bullet"/>
      <w:lvlText w:val="•"/>
      <w:lvlJc w:val="left"/>
      <w:pPr>
        <w:tabs>
          <w:tab w:val="num" w:pos="1440"/>
        </w:tabs>
        <w:ind w:left="1440" w:hanging="360"/>
      </w:pPr>
      <w:rPr>
        <w:rFonts w:ascii="Arial" w:hAnsi="Arial" w:hint="default"/>
      </w:rPr>
    </w:lvl>
    <w:lvl w:ilvl="2" w:tplc="65E2223C" w:tentative="1">
      <w:start w:val="1"/>
      <w:numFmt w:val="bullet"/>
      <w:lvlText w:val="•"/>
      <w:lvlJc w:val="left"/>
      <w:pPr>
        <w:tabs>
          <w:tab w:val="num" w:pos="2160"/>
        </w:tabs>
        <w:ind w:left="2160" w:hanging="360"/>
      </w:pPr>
      <w:rPr>
        <w:rFonts w:ascii="Arial" w:hAnsi="Arial" w:hint="default"/>
      </w:rPr>
    </w:lvl>
    <w:lvl w:ilvl="3" w:tplc="A0C05830" w:tentative="1">
      <w:start w:val="1"/>
      <w:numFmt w:val="bullet"/>
      <w:lvlText w:val="•"/>
      <w:lvlJc w:val="left"/>
      <w:pPr>
        <w:tabs>
          <w:tab w:val="num" w:pos="2880"/>
        </w:tabs>
        <w:ind w:left="2880" w:hanging="360"/>
      </w:pPr>
      <w:rPr>
        <w:rFonts w:ascii="Arial" w:hAnsi="Arial" w:hint="default"/>
      </w:rPr>
    </w:lvl>
    <w:lvl w:ilvl="4" w:tplc="9D344C42" w:tentative="1">
      <w:start w:val="1"/>
      <w:numFmt w:val="bullet"/>
      <w:lvlText w:val="•"/>
      <w:lvlJc w:val="left"/>
      <w:pPr>
        <w:tabs>
          <w:tab w:val="num" w:pos="3600"/>
        </w:tabs>
        <w:ind w:left="3600" w:hanging="360"/>
      </w:pPr>
      <w:rPr>
        <w:rFonts w:ascii="Arial" w:hAnsi="Arial" w:hint="default"/>
      </w:rPr>
    </w:lvl>
    <w:lvl w:ilvl="5" w:tplc="0032CB86" w:tentative="1">
      <w:start w:val="1"/>
      <w:numFmt w:val="bullet"/>
      <w:lvlText w:val="•"/>
      <w:lvlJc w:val="left"/>
      <w:pPr>
        <w:tabs>
          <w:tab w:val="num" w:pos="4320"/>
        </w:tabs>
        <w:ind w:left="4320" w:hanging="360"/>
      </w:pPr>
      <w:rPr>
        <w:rFonts w:ascii="Arial" w:hAnsi="Arial" w:hint="default"/>
      </w:rPr>
    </w:lvl>
    <w:lvl w:ilvl="6" w:tplc="78CA52F8" w:tentative="1">
      <w:start w:val="1"/>
      <w:numFmt w:val="bullet"/>
      <w:lvlText w:val="•"/>
      <w:lvlJc w:val="left"/>
      <w:pPr>
        <w:tabs>
          <w:tab w:val="num" w:pos="5040"/>
        </w:tabs>
        <w:ind w:left="5040" w:hanging="360"/>
      </w:pPr>
      <w:rPr>
        <w:rFonts w:ascii="Arial" w:hAnsi="Arial" w:hint="default"/>
      </w:rPr>
    </w:lvl>
    <w:lvl w:ilvl="7" w:tplc="85E8A0AC" w:tentative="1">
      <w:start w:val="1"/>
      <w:numFmt w:val="bullet"/>
      <w:lvlText w:val="•"/>
      <w:lvlJc w:val="left"/>
      <w:pPr>
        <w:tabs>
          <w:tab w:val="num" w:pos="5760"/>
        </w:tabs>
        <w:ind w:left="5760" w:hanging="360"/>
      </w:pPr>
      <w:rPr>
        <w:rFonts w:ascii="Arial" w:hAnsi="Arial" w:hint="default"/>
      </w:rPr>
    </w:lvl>
    <w:lvl w:ilvl="8" w:tplc="5E92983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717E18"/>
    <w:multiLevelType w:val="multilevel"/>
    <w:tmpl w:val="4B3EDD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F1857BC"/>
    <w:multiLevelType w:val="hybridMultilevel"/>
    <w:tmpl w:val="D06EC73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7A990FE9"/>
    <w:multiLevelType w:val="hybridMultilevel"/>
    <w:tmpl w:val="5B10D41E"/>
    <w:lvl w:ilvl="0" w:tplc="B0F2C238">
      <w:start w:val="4"/>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E2E"/>
    <w:rsid w:val="00001F1D"/>
    <w:rsid w:val="000030B8"/>
    <w:rsid w:val="0001194F"/>
    <w:rsid w:val="00025A57"/>
    <w:rsid w:val="00026761"/>
    <w:rsid w:val="0003512B"/>
    <w:rsid w:val="000408BB"/>
    <w:rsid w:val="0004424C"/>
    <w:rsid w:val="00050A8A"/>
    <w:rsid w:val="000827AA"/>
    <w:rsid w:val="000839C0"/>
    <w:rsid w:val="000A1FDB"/>
    <w:rsid w:val="000C799C"/>
    <w:rsid w:val="00114216"/>
    <w:rsid w:val="00116D8E"/>
    <w:rsid w:val="001318BA"/>
    <w:rsid w:val="00143368"/>
    <w:rsid w:val="00143E69"/>
    <w:rsid w:val="0014465B"/>
    <w:rsid w:val="00144B04"/>
    <w:rsid w:val="00155B6B"/>
    <w:rsid w:val="00163FDA"/>
    <w:rsid w:val="00164E24"/>
    <w:rsid w:val="00170E77"/>
    <w:rsid w:val="00171205"/>
    <w:rsid w:val="001A13A8"/>
    <w:rsid w:val="001A290A"/>
    <w:rsid w:val="001A46D7"/>
    <w:rsid w:val="001B0B51"/>
    <w:rsid w:val="001B3E1F"/>
    <w:rsid w:val="001B7B6A"/>
    <w:rsid w:val="001C6ADA"/>
    <w:rsid w:val="001D03D1"/>
    <w:rsid w:val="001E264B"/>
    <w:rsid w:val="001E48B6"/>
    <w:rsid w:val="001F0775"/>
    <w:rsid w:val="001F2E7D"/>
    <w:rsid w:val="001F4188"/>
    <w:rsid w:val="001F52FD"/>
    <w:rsid w:val="00210E7D"/>
    <w:rsid w:val="00213547"/>
    <w:rsid w:val="002162D4"/>
    <w:rsid w:val="00216C1C"/>
    <w:rsid w:val="00220BAE"/>
    <w:rsid w:val="00223DCF"/>
    <w:rsid w:val="00224A6F"/>
    <w:rsid w:val="0022721B"/>
    <w:rsid w:val="002274E8"/>
    <w:rsid w:val="002336AA"/>
    <w:rsid w:val="00233E26"/>
    <w:rsid w:val="00240E95"/>
    <w:rsid w:val="00250F19"/>
    <w:rsid w:val="00255306"/>
    <w:rsid w:val="00256F93"/>
    <w:rsid w:val="00263FA5"/>
    <w:rsid w:val="00275CF6"/>
    <w:rsid w:val="00276B1D"/>
    <w:rsid w:val="002813C2"/>
    <w:rsid w:val="00286BE8"/>
    <w:rsid w:val="00292B97"/>
    <w:rsid w:val="002A4E29"/>
    <w:rsid w:val="002A7C09"/>
    <w:rsid w:val="002B0FAE"/>
    <w:rsid w:val="002C41C9"/>
    <w:rsid w:val="002D1C56"/>
    <w:rsid w:val="002D7AB3"/>
    <w:rsid w:val="002E3003"/>
    <w:rsid w:val="002E7F2D"/>
    <w:rsid w:val="00305752"/>
    <w:rsid w:val="0032725A"/>
    <w:rsid w:val="00330385"/>
    <w:rsid w:val="0034131F"/>
    <w:rsid w:val="00343BFE"/>
    <w:rsid w:val="0036014F"/>
    <w:rsid w:val="003653E9"/>
    <w:rsid w:val="00366D0B"/>
    <w:rsid w:val="00366F51"/>
    <w:rsid w:val="003675AC"/>
    <w:rsid w:val="00373E1F"/>
    <w:rsid w:val="0038287E"/>
    <w:rsid w:val="003866D7"/>
    <w:rsid w:val="0039423C"/>
    <w:rsid w:val="00394B93"/>
    <w:rsid w:val="003A22E8"/>
    <w:rsid w:val="003A6E44"/>
    <w:rsid w:val="003D1CDE"/>
    <w:rsid w:val="003D3708"/>
    <w:rsid w:val="003D7C57"/>
    <w:rsid w:val="003E3568"/>
    <w:rsid w:val="003F3D54"/>
    <w:rsid w:val="003F7DBB"/>
    <w:rsid w:val="00404CA7"/>
    <w:rsid w:val="00406438"/>
    <w:rsid w:val="00413A0E"/>
    <w:rsid w:val="004215CF"/>
    <w:rsid w:val="00422C6B"/>
    <w:rsid w:val="00427839"/>
    <w:rsid w:val="004436A4"/>
    <w:rsid w:val="00443996"/>
    <w:rsid w:val="00447729"/>
    <w:rsid w:val="00453365"/>
    <w:rsid w:val="004665B3"/>
    <w:rsid w:val="00473CAF"/>
    <w:rsid w:val="004862DC"/>
    <w:rsid w:val="004900E6"/>
    <w:rsid w:val="00491430"/>
    <w:rsid w:val="00497B6D"/>
    <w:rsid w:val="004A4594"/>
    <w:rsid w:val="004B2042"/>
    <w:rsid w:val="004B6400"/>
    <w:rsid w:val="004C13A6"/>
    <w:rsid w:val="004C3680"/>
    <w:rsid w:val="004C6A26"/>
    <w:rsid w:val="004C6A6B"/>
    <w:rsid w:val="004D0A05"/>
    <w:rsid w:val="004F5DA0"/>
    <w:rsid w:val="00500D02"/>
    <w:rsid w:val="00517CBF"/>
    <w:rsid w:val="00526DD4"/>
    <w:rsid w:val="00534E09"/>
    <w:rsid w:val="00540EB1"/>
    <w:rsid w:val="0054654A"/>
    <w:rsid w:val="00546FB1"/>
    <w:rsid w:val="005570EE"/>
    <w:rsid w:val="005620A7"/>
    <w:rsid w:val="0056219B"/>
    <w:rsid w:val="00565514"/>
    <w:rsid w:val="005662FC"/>
    <w:rsid w:val="0057116C"/>
    <w:rsid w:val="005B1C7C"/>
    <w:rsid w:val="005B26FA"/>
    <w:rsid w:val="005B28E1"/>
    <w:rsid w:val="005B7A67"/>
    <w:rsid w:val="005B7B58"/>
    <w:rsid w:val="005C02E8"/>
    <w:rsid w:val="005C39A5"/>
    <w:rsid w:val="005C4A35"/>
    <w:rsid w:val="005C7A4F"/>
    <w:rsid w:val="005D44D4"/>
    <w:rsid w:val="005D695A"/>
    <w:rsid w:val="005E14B6"/>
    <w:rsid w:val="005E5F19"/>
    <w:rsid w:val="005F22BE"/>
    <w:rsid w:val="005F4E5D"/>
    <w:rsid w:val="00611391"/>
    <w:rsid w:val="00612363"/>
    <w:rsid w:val="00620276"/>
    <w:rsid w:val="00642505"/>
    <w:rsid w:val="006428FF"/>
    <w:rsid w:val="0064685A"/>
    <w:rsid w:val="0064717F"/>
    <w:rsid w:val="0065155B"/>
    <w:rsid w:val="00670745"/>
    <w:rsid w:val="00680F05"/>
    <w:rsid w:val="00687793"/>
    <w:rsid w:val="0069274E"/>
    <w:rsid w:val="0069548C"/>
    <w:rsid w:val="006B7FD4"/>
    <w:rsid w:val="006C5A08"/>
    <w:rsid w:val="006C5E72"/>
    <w:rsid w:val="006D004C"/>
    <w:rsid w:val="006D0135"/>
    <w:rsid w:val="006D0A4C"/>
    <w:rsid w:val="006E21E5"/>
    <w:rsid w:val="006F3BF0"/>
    <w:rsid w:val="00701C49"/>
    <w:rsid w:val="007050FF"/>
    <w:rsid w:val="00705B59"/>
    <w:rsid w:val="007136E5"/>
    <w:rsid w:val="00724C0E"/>
    <w:rsid w:val="007257E3"/>
    <w:rsid w:val="0072754B"/>
    <w:rsid w:val="007349C8"/>
    <w:rsid w:val="00743DAF"/>
    <w:rsid w:val="00756671"/>
    <w:rsid w:val="0078073D"/>
    <w:rsid w:val="00785D62"/>
    <w:rsid w:val="00787533"/>
    <w:rsid w:val="0079680E"/>
    <w:rsid w:val="0079783C"/>
    <w:rsid w:val="007A0342"/>
    <w:rsid w:val="007B288E"/>
    <w:rsid w:val="007B6E2E"/>
    <w:rsid w:val="007C2AFA"/>
    <w:rsid w:val="007C357C"/>
    <w:rsid w:val="007C588E"/>
    <w:rsid w:val="007C765C"/>
    <w:rsid w:val="007C7B82"/>
    <w:rsid w:val="007D629A"/>
    <w:rsid w:val="007E23C1"/>
    <w:rsid w:val="007F2C36"/>
    <w:rsid w:val="007F7E57"/>
    <w:rsid w:val="00803CE6"/>
    <w:rsid w:val="00812532"/>
    <w:rsid w:val="008160B9"/>
    <w:rsid w:val="00817882"/>
    <w:rsid w:val="008232E3"/>
    <w:rsid w:val="00835703"/>
    <w:rsid w:val="008369B9"/>
    <w:rsid w:val="0084468A"/>
    <w:rsid w:val="008449CA"/>
    <w:rsid w:val="0085237D"/>
    <w:rsid w:val="00857698"/>
    <w:rsid w:val="00861C58"/>
    <w:rsid w:val="0086400B"/>
    <w:rsid w:val="008823A8"/>
    <w:rsid w:val="00884D5E"/>
    <w:rsid w:val="008A161D"/>
    <w:rsid w:val="008A3BC0"/>
    <w:rsid w:val="008A64F0"/>
    <w:rsid w:val="008A77F9"/>
    <w:rsid w:val="008B1AF7"/>
    <w:rsid w:val="008B2899"/>
    <w:rsid w:val="008C3685"/>
    <w:rsid w:val="008C3786"/>
    <w:rsid w:val="008C7AE5"/>
    <w:rsid w:val="008C7FA9"/>
    <w:rsid w:val="008E2098"/>
    <w:rsid w:val="008E53C0"/>
    <w:rsid w:val="008F6B50"/>
    <w:rsid w:val="00903335"/>
    <w:rsid w:val="00935C62"/>
    <w:rsid w:val="00937A6E"/>
    <w:rsid w:val="00966E4C"/>
    <w:rsid w:val="00975483"/>
    <w:rsid w:val="00975C64"/>
    <w:rsid w:val="0099225C"/>
    <w:rsid w:val="009A2134"/>
    <w:rsid w:val="009B574E"/>
    <w:rsid w:val="009B6C8F"/>
    <w:rsid w:val="009B7997"/>
    <w:rsid w:val="009C0C0A"/>
    <w:rsid w:val="009C0C23"/>
    <w:rsid w:val="009C2C1C"/>
    <w:rsid w:val="009C509D"/>
    <w:rsid w:val="009C6CA7"/>
    <w:rsid w:val="009D028D"/>
    <w:rsid w:val="009E0191"/>
    <w:rsid w:val="009F453A"/>
    <w:rsid w:val="009F4A0D"/>
    <w:rsid w:val="00A00F5F"/>
    <w:rsid w:val="00A0514D"/>
    <w:rsid w:val="00A245A3"/>
    <w:rsid w:val="00A325DC"/>
    <w:rsid w:val="00A35C5A"/>
    <w:rsid w:val="00A41A03"/>
    <w:rsid w:val="00A458D5"/>
    <w:rsid w:val="00A62408"/>
    <w:rsid w:val="00A64D12"/>
    <w:rsid w:val="00A70FC8"/>
    <w:rsid w:val="00A71BA3"/>
    <w:rsid w:val="00A86F7C"/>
    <w:rsid w:val="00A90515"/>
    <w:rsid w:val="00A92122"/>
    <w:rsid w:val="00AA3F6D"/>
    <w:rsid w:val="00AC7553"/>
    <w:rsid w:val="00AE079F"/>
    <w:rsid w:val="00AF54E9"/>
    <w:rsid w:val="00AF576E"/>
    <w:rsid w:val="00AF679F"/>
    <w:rsid w:val="00B01838"/>
    <w:rsid w:val="00B02137"/>
    <w:rsid w:val="00B06FF5"/>
    <w:rsid w:val="00B10CAF"/>
    <w:rsid w:val="00B226BF"/>
    <w:rsid w:val="00B25FEA"/>
    <w:rsid w:val="00B307A1"/>
    <w:rsid w:val="00B32C34"/>
    <w:rsid w:val="00B41356"/>
    <w:rsid w:val="00B46E21"/>
    <w:rsid w:val="00B4777C"/>
    <w:rsid w:val="00B50EA1"/>
    <w:rsid w:val="00B559AD"/>
    <w:rsid w:val="00B57878"/>
    <w:rsid w:val="00B670DE"/>
    <w:rsid w:val="00B671AB"/>
    <w:rsid w:val="00B758EC"/>
    <w:rsid w:val="00B83B86"/>
    <w:rsid w:val="00BA2C92"/>
    <w:rsid w:val="00BA7BA0"/>
    <w:rsid w:val="00BB4C91"/>
    <w:rsid w:val="00BC7638"/>
    <w:rsid w:val="00BD0C9E"/>
    <w:rsid w:val="00BD19C7"/>
    <w:rsid w:val="00BD3206"/>
    <w:rsid w:val="00BD5E39"/>
    <w:rsid w:val="00BD6D29"/>
    <w:rsid w:val="00BF4D03"/>
    <w:rsid w:val="00C053B9"/>
    <w:rsid w:val="00C2058B"/>
    <w:rsid w:val="00C25C3A"/>
    <w:rsid w:val="00C32ED1"/>
    <w:rsid w:val="00C44F14"/>
    <w:rsid w:val="00C4768C"/>
    <w:rsid w:val="00C60C01"/>
    <w:rsid w:val="00C75969"/>
    <w:rsid w:val="00C86559"/>
    <w:rsid w:val="00C867F2"/>
    <w:rsid w:val="00C87582"/>
    <w:rsid w:val="00C93D77"/>
    <w:rsid w:val="00C94828"/>
    <w:rsid w:val="00CA125B"/>
    <w:rsid w:val="00CA296C"/>
    <w:rsid w:val="00CD69FE"/>
    <w:rsid w:val="00CF0532"/>
    <w:rsid w:val="00D019D4"/>
    <w:rsid w:val="00D0758E"/>
    <w:rsid w:val="00D142BB"/>
    <w:rsid w:val="00D302F4"/>
    <w:rsid w:val="00D31251"/>
    <w:rsid w:val="00D31793"/>
    <w:rsid w:val="00D3243F"/>
    <w:rsid w:val="00D666E4"/>
    <w:rsid w:val="00D66E80"/>
    <w:rsid w:val="00D9465E"/>
    <w:rsid w:val="00DB0E78"/>
    <w:rsid w:val="00DB69A3"/>
    <w:rsid w:val="00DB6EBC"/>
    <w:rsid w:val="00DB76E6"/>
    <w:rsid w:val="00DC3ACD"/>
    <w:rsid w:val="00DD71E6"/>
    <w:rsid w:val="00DF6931"/>
    <w:rsid w:val="00E05E9D"/>
    <w:rsid w:val="00E10358"/>
    <w:rsid w:val="00E21945"/>
    <w:rsid w:val="00E23154"/>
    <w:rsid w:val="00E24E90"/>
    <w:rsid w:val="00E32E6F"/>
    <w:rsid w:val="00E4021B"/>
    <w:rsid w:val="00E441D9"/>
    <w:rsid w:val="00E52915"/>
    <w:rsid w:val="00E52CCC"/>
    <w:rsid w:val="00E57141"/>
    <w:rsid w:val="00E57F47"/>
    <w:rsid w:val="00E62DFD"/>
    <w:rsid w:val="00E72BA7"/>
    <w:rsid w:val="00E75515"/>
    <w:rsid w:val="00E76F19"/>
    <w:rsid w:val="00E80788"/>
    <w:rsid w:val="00E80DA7"/>
    <w:rsid w:val="00E81110"/>
    <w:rsid w:val="00E84CBD"/>
    <w:rsid w:val="00E95C50"/>
    <w:rsid w:val="00EA21F7"/>
    <w:rsid w:val="00EA3C6F"/>
    <w:rsid w:val="00EC2A67"/>
    <w:rsid w:val="00ED572F"/>
    <w:rsid w:val="00ED7D20"/>
    <w:rsid w:val="00EE1CD1"/>
    <w:rsid w:val="00EF3F82"/>
    <w:rsid w:val="00F12575"/>
    <w:rsid w:val="00F21CBF"/>
    <w:rsid w:val="00F266EC"/>
    <w:rsid w:val="00F35CA4"/>
    <w:rsid w:val="00F429DB"/>
    <w:rsid w:val="00F525B1"/>
    <w:rsid w:val="00F62187"/>
    <w:rsid w:val="00F71984"/>
    <w:rsid w:val="00F73049"/>
    <w:rsid w:val="00F775A6"/>
    <w:rsid w:val="00F804E0"/>
    <w:rsid w:val="00F81E36"/>
    <w:rsid w:val="00FB3362"/>
    <w:rsid w:val="00FB3932"/>
    <w:rsid w:val="00FB5DBC"/>
    <w:rsid w:val="00FD1325"/>
    <w:rsid w:val="00FD1AF1"/>
    <w:rsid w:val="00FF378C"/>
    <w:rsid w:val="00FF573A"/>
    <w:rsid w:val="00FF679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D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a-DK" w:eastAsia="da-DK" w:bidi="ar-SA"/>
      </w:rPr>
    </w:rPrDefault>
    <w:pPrDefault>
      <w:pPr>
        <w:spacing w:after="180" w:line="27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spacing w:before="360" w:after="0" w:line="240" w:lineRule="auto"/>
      <w:outlineLvl w:val="0"/>
    </w:pPr>
    <w:rPr>
      <w:rFonts w:ascii="Cambria" w:eastAsia="Cambria" w:hAnsi="Cambria" w:cs="Cambria"/>
      <w:color w:val="1F497D"/>
      <w:sz w:val="32"/>
      <w:szCs w:val="32"/>
    </w:rPr>
  </w:style>
  <w:style w:type="paragraph" w:styleId="Overskrift2">
    <w:name w:val="heading 2"/>
    <w:basedOn w:val="Normal"/>
    <w:next w:val="Normal"/>
    <w:pPr>
      <w:keepNext/>
      <w:keepLines/>
      <w:spacing w:before="120" w:after="0" w:line="240" w:lineRule="auto"/>
      <w:outlineLvl w:val="1"/>
    </w:pPr>
    <w:rPr>
      <w:rFonts w:ascii="Cambria" w:eastAsia="Cambria" w:hAnsi="Cambria" w:cs="Cambria"/>
      <w:b/>
      <w:color w:val="9BBB59"/>
      <w:sz w:val="28"/>
      <w:szCs w:val="28"/>
    </w:rPr>
  </w:style>
  <w:style w:type="paragraph" w:styleId="Overskrift3">
    <w:name w:val="heading 3"/>
    <w:basedOn w:val="Normal"/>
    <w:next w:val="Normal"/>
    <w:pPr>
      <w:keepNext/>
      <w:keepLines/>
      <w:spacing w:before="20" w:after="0" w:line="240" w:lineRule="auto"/>
      <w:outlineLvl w:val="2"/>
    </w:pPr>
    <w:rPr>
      <w:b/>
      <w:color w:val="1F497D"/>
      <w:sz w:val="24"/>
      <w:szCs w:val="24"/>
    </w:rPr>
  </w:style>
  <w:style w:type="paragraph" w:styleId="Overskrift4">
    <w:name w:val="heading 4"/>
    <w:basedOn w:val="Normal"/>
    <w:next w:val="Normal"/>
    <w:pPr>
      <w:keepNext/>
      <w:keepLines/>
      <w:spacing w:before="200" w:after="0"/>
      <w:outlineLvl w:val="3"/>
    </w:pPr>
    <w:rPr>
      <w:rFonts w:ascii="Cambria" w:eastAsia="Cambria" w:hAnsi="Cambria" w:cs="Cambria"/>
      <w:b/>
      <w:i/>
      <w:color w:val="262626"/>
    </w:rPr>
  </w:style>
  <w:style w:type="paragraph" w:styleId="Overskrift5">
    <w:name w:val="heading 5"/>
    <w:basedOn w:val="Normal"/>
    <w:next w:val="Normal"/>
    <w:pPr>
      <w:keepNext/>
      <w:keepLines/>
      <w:spacing w:before="200" w:after="0"/>
      <w:outlineLvl w:val="4"/>
    </w:pPr>
    <w:rPr>
      <w:rFonts w:ascii="Cambria" w:eastAsia="Cambria" w:hAnsi="Cambria" w:cs="Cambria"/>
      <w:color w:val="000000"/>
    </w:rPr>
  </w:style>
  <w:style w:type="paragraph" w:styleId="Overskrift6">
    <w:name w:val="heading 6"/>
    <w:basedOn w:val="Normal"/>
    <w:next w:val="Normal"/>
    <w:pPr>
      <w:keepNext/>
      <w:keepLines/>
      <w:spacing w:before="200" w:after="0"/>
      <w:outlineLvl w:val="5"/>
    </w:pPr>
    <w:rPr>
      <w:rFonts w:ascii="Cambria" w:eastAsia="Cambria" w:hAnsi="Cambria" w:cs="Cambria"/>
      <w:i/>
      <w:color w:val="000000"/>
    </w:rPr>
  </w:style>
  <w:style w:type="paragraph" w:styleId="Overskrift7">
    <w:name w:val="heading 7"/>
    <w:basedOn w:val="Normal"/>
    <w:next w:val="Normal"/>
    <w:link w:val="Overskrift7Tegn"/>
    <w:uiPriority w:val="9"/>
    <w:unhideWhenUsed/>
    <w:qFormat/>
    <w:rsid w:val="0057116C"/>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Normal"/>
    <w:next w:val="Normal"/>
    <w:pPr>
      <w:spacing w:after="120" w:line="240" w:lineRule="auto"/>
      <w:contextualSpacing/>
    </w:pPr>
    <w:rPr>
      <w:rFonts w:ascii="Cambria" w:eastAsia="Cambria" w:hAnsi="Cambria" w:cs="Cambria"/>
      <w:color w:val="1F497D"/>
      <w:sz w:val="72"/>
      <w:szCs w:val="72"/>
    </w:rPr>
  </w:style>
  <w:style w:type="paragraph" w:styleId="Undertitel">
    <w:name w:val="Subtitle"/>
    <w:basedOn w:val="Normal"/>
    <w:next w:val="Normal"/>
    <w:rPr>
      <w:color w:val="265898"/>
      <w:sz w:val="32"/>
      <w:szCs w:val="32"/>
    </w:rPr>
  </w:style>
  <w:style w:type="table" w:customStyle="1" w:styleId="a">
    <w:basedOn w:val="TableNormal1"/>
    <w:pPr>
      <w:spacing w:after="0" w:line="240" w:lineRule="auto"/>
    </w:pPr>
    <w:tblPr>
      <w:tblStyleRowBandSize w:val="1"/>
      <w:tblStyleColBandSize w:val="1"/>
      <w:tblCellMar>
        <w:left w:w="115" w:type="dxa"/>
        <w:right w:w="115"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Mar>
          <w:top w:w="0" w:type="dxa"/>
          <w:left w:w="115" w:type="dxa"/>
          <w:bottom w:w="0" w:type="dxa"/>
          <w:right w:w="115" w:type="dxa"/>
        </w:tcMar>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Mar>
          <w:top w:w="0" w:type="dxa"/>
          <w:left w:w="115" w:type="dxa"/>
          <w:bottom w:w="0" w:type="dxa"/>
          <w:right w:w="115" w:type="dxa"/>
        </w:tcMar>
      </w:tcPr>
    </w:tblStylePr>
    <w:tblStylePr w:type="firstCol">
      <w:rPr>
        <w:rFonts w:ascii="Cambria" w:eastAsia="Cambria" w:hAnsi="Cambria" w:cs="Cambria"/>
        <w:b/>
      </w:rPr>
      <w:tblPr/>
      <w:tcPr>
        <w:tcMar>
          <w:top w:w="0" w:type="dxa"/>
          <w:left w:w="115" w:type="dxa"/>
          <w:bottom w:w="0" w:type="dxa"/>
          <w:right w:w="115" w:type="dxa"/>
        </w:tcMar>
      </w:tc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Mar>
          <w:top w:w="0" w:type="dxa"/>
          <w:left w:w="115" w:type="dxa"/>
          <w:bottom w:w="0" w:type="dxa"/>
          <w:right w:w="115" w:type="dxa"/>
        </w:tcMar>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Mar>
          <w:top w:w="0" w:type="dxa"/>
          <w:left w:w="115" w:type="dxa"/>
          <w:bottom w:w="0" w:type="dxa"/>
          <w:right w:w="115" w:type="dxa"/>
        </w:tcMar>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Mar>
          <w:top w:w="0" w:type="dxa"/>
          <w:left w:w="115" w:type="dxa"/>
          <w:bottom w:w="0" w:type="dxa"/>
          <w:right w:w="115" w:type="dxa"/>
        </w:tcMar>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Mar>
          <w:top w:w="0" w:type="dxa"/>
          <w:left w:w="115" w:type="dxa"/>
          <w:bottom w:w="0" w:type="dxa"/>
          <w:right w:w="115" w:type="dxa"/>
        </w:tcMar>
      </w:tcPr>
    </w:tblStyle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paragraph" w:styleId="Markeringsbobletekst">
    <w:name w:val="Balloon Text"/>
    <w:basedOn w:val="Normal"/>
    <w:link w:val="MarkeringsbobletekstTegn"/>
    <w:uiPriority w:val="99"/>
    <w:semiHidden/>
    <w:unhideWhenUsed/>
    <w:rsid w:val="006E21E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E21E5"/>
    <w:rPr>
      <w:rFonts w:ascii="Tahoma" w:hAnsi="Tahoma" w:cs="Tahoma"/>
      <w:sz w:val="16"/>
      <w:szCs w:val="16"/>
    </w:rPr>
  </w:style>
  <w:style w:type="paragraph" w:styleId="Sidehoved">
    <w:name w:val="header"/>
    <w:basedOn w:val="Normal"/>
    <w:link w:val="SidehovedTegn"/>
    <w:uiPriority w:val="99"/>
    <w:unhideWhenUsed/>
    <w:rsid w:val="006E21E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E21E5"/>
  </w:style>
  <w:style w:type="paragraph" w:styleId="Sidefod">
    <w:name w:val="footer"/>
    <w:basedOn w:val="Normal"/>
    <w:link w:val="SidefodTegn"/>
    <w:uiPriority w:val="99"/>
    <w:unhideWhenUsed/>
    <w:rsid w:val="006E21E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E21E5"/>
  </w:style>
  <w:style w:type="character" w:styleId="Kommentarhenvisning">
    <w:name w:val="annotation reference"/>
    <w:basedOn w:val="Standardskrifttypeiafsnit"/>
    <w:uiPriority w:val="99"/>
    <w:semiHidden/>
    <w:unhideWhenUsed/>
    <w:rsid w:val="00E4021B"/>
    <w:rPr>
      <w:sz w:val="16"/>
      <w:szCs w:val="16"/>
    </w:rPr>
  </w:style>
  <w:style w:type="paragraph" w:styleId="Kommentartekst">
    <w:name w:val="annotation text"/>
    <w:basedOn w:val="Normal"/>
    <w:link w:val="KommentartekstTegn"/>
    <w:uiPriority w:val="99"/>
    <w:semiHidden/>
    <w:unhideWhenUsed/>
    <w:rsid w:val="00E4021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4021B"/>
    <w:rPr>
      <w:sz w:val="20"/>
      <w:szCs w:val="20"/>
    </w:rPr>
  </w:style>
  <w:style w:type="paragraph" w:styleId="Kommentaremne">
    <w:name w:val="annotation subject"/>
    <w:basedOn w:val="Kommentartekst"/>
    <w:next w:val="Kommentartekst"/>
    <w:link w:val="KommentaremneTegn"/>
    <w:uiPriority w:val="99"/>
    <w:semiHidden/>
    <w:unhideWhenUsed/>
    <w:rsid w:val="00E4021B"/>
    <w:rPr>
      <w:b/>
      <w:bCs/>
    </w:rPr>
  </w:style>
  <w:style w:type="character" w:customStyle="1" w:styleId="KommentaremneTegn">
    <w:name w:val="Kommentaremne Tegn"/>
    <w:basedOn w:val="KommentartekstTegn"/>
    <w:link w:val="Kommentaremne"/>
    <w:uiPriority w:val="99"/>
    <w:semiHidden/>
    <w:rsid w:val="00E4021B"/>
    <w:rPr>
      <w:b/>
      <w:bCs/>
      <w:sz w:val="20"/>
      <w:szCs w:val="20"/>
    </w:rPr>
  </w:style>
  <w:style w:type="paragraph" w:styleId="Opstilling-punkttegn">
    <w:name w:val="List Bullet"/>
    <w:basedOn w:val="Normal"/>
    <w:uiPriority w:val="99"/>
    <w:unhideWhenUsed/>
    <w:rsid w:val="001E48B6"/>
    <w:pPr>
      <w:numPr>
        <w:numId w:val="3"/>
      </w:numPr>
      <w:spacing w:after="200" w:line="276" w:lineRule="auto"/>
      <w:contextualSpacing/>
    </w:pPr>
    <w:rPr>
      <w:rFonts w:asciiTheme="minorHAnsi" w:eastAsiaTheme="minorHAnsi" w:hAnsiTheme="minorHAnsi" w:cstheme="minorBidi"/>
      <w:lang w:eastAsia="en-US"/>
    </w:rPr>
  </w:style>
  <w:style w:type="paragraph" w:styleId="Indholdsfortegnelse1">
    <w:name w:val="toc 1"/>
    <w:basedOn w:val="Normal"/>
    <w:next w:val="Normal"/>
    <w:autoRedefine/>
    <w:uiPriority w:val="39"/>
    <w:unhideWhenUsed/>
    <w:rsid w:val="009C2C1C"/>
    <w:pPr>
      <w:spacing w:after="100"/>
    </w:pPr>
  </w:style>
  <w:style w:type="paragraph" w:styleId="Indholdsfortegnelse2">
    <w:name w:val="toc 2"/>
    <w:basedOn w:val="Normal"/>
    <w:next w:val="Normal"/>
    <w:autoRedefine/>
    <w:uiPriority w:val="39"/>
    <w:unhideWhenUsed/>
    <w:rsid w:val="009C2C1C"/>
    <w:pPr>
      <w:spacing w:after="100"/>
      <w:ind w:left="220"/>
    </w:pPr>
  </w:style>
  <w:style w:type="character" w:styleId="Hyperlink">
    <w:name w:val="Hyperlink"/>
    <w:basedOn w:val="Standardskrifttypeiafsnit"/>
    <w:uiPriority w:val="99"/>
    <w:unhideWhenUsed/>
    <w:rsid w:val="009C2C1C"/>
    <w:rPr>
      <w:color w:val="0000FF" w:themeColor="hyperlink"/>
      <w:u w:val="single"/>
    </w:rPr>
  </w:style>
  <w:style w:type="paragraph" w:styleId="Listeafsnit">
    <w:name w:val="List Paragraph"/>
    <w:basedOn w:val="Normal"/>
    <w:uiPriority w:val="34"/>
    <w:qFormat/>
    <w:rsid w:val="004C3680"/>
    <w:pPr>
      <w:ind w:left="720"/>
      <w:contextualSpacing/>
    </w:pPr>
  </w:style>
  <w:style w:type="paragraph" w:styleId="Fodnotetekst">
    <w:name w:val="footnote text"/>
    <w:basedOn w:val="Normal"/>
    <w:link w:val="FodnotetekstTegn"/>
    <w:uiPriority w:val="99"/>
    <w:semiHidden/>
    <w:unhideWhenUsed/>
    <w:rsid w:val="0065155B"/>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65155B"/>
    <w:rPr>
      <w:sz w:val="20"/>
      <w:szCs w:val="20"/>
    </w:rPr>
  </w:style>
  <w:style w:type="character" w:styleId="Fodnotehenvisning">
    <w:name w:val="footnote reference"/>
    <w:basedOn w:val="Standardskrifttypeiafsnit"/>
    <w:uiPriority w:val="99"/>
    <w:semiHidden/>
    <w:unhideWhenUsed/>
    <w:rsid w:val="0065155B"/>
    <w:rPr>
      <w:vertAlign w:val="superscript"/>
    </w:rPr>
  </w:style>
  <w:style w:type="character" w:styleId="BesgtLink">
    <w:name w:val="FollowedHyperlink"/>
    <w:basedOn w:val="Standardskrifttypeiafsnit"/>
    <w:uiPriority w:val="99"/>
    <w:semiHidden/>
    <w:unhideWhenUsed/>
    <w:rsid w:val="00BD19C7"/>
    <w:rPr>
      <w:color w:val="800080" w:themeColor="followedHyperlink"/>
      <w:u w:val="single"/>
    </w:rPr>
  </w:style>
  <w:style w:type="paragraph" w:styleId="Brdtekst">
    <w:name w:val="Body Text"/>
    <w:basedOn w:val="Normal"/>
    <w:link w:val="BrdtekstTegn"/>
    <w:qFormat/>
    <w:rsid w:val="00B46E21"/>
    <w:pPr>
      <w:spacing w:after="160" w:line="240" w:lineRule="auto"/>
    </w:pPr>
    <w:rPr>
      <w:rFonts w:asciiTheme="minorHAnsi" w:eastAsiaTheme="minorEastAsia" w:hAnsiTheme="minorHAnsi" w:cstheme="minorBidi"/>
    </w:rPr>
  </w:style>
  <w:style w:type="character" w:customStyle="1" w:styleId="BrdtekstTegn">
    <w:name w:val="Brødtekst Tegn"/>
    <w:basedOn w:val="Standardskrifttypeiafsnit"/>
    <w:link w:val="Brdtekst"/>
    <w:rsid w:val="00B46E21"/>
    <w:rPr>
      <w:rFonts w:asciiTheme="minorHAnsi" w:eastAsiaTheme="minorEastAsia" w:hAnsiTheme="minorHAnsi" w:cstheme="minorBidi"/>
    </w:rPr>
  </w:style>
  <w:style w:type="character" w:customStyle="1" w:styleId="Overskrift7Tegn">
    <w:name w:val="Overskrift 7 Tegn"/>
    <w:basedOn w:val="Standardskrifttypeiafsnit"/>
    <w:link w:val="Overskrift7"/>
    <w:uiPriority w:val="9"/>
    <w:rsid w:val="0057116C"/>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93085">
      <w:bodyDiv w:val="1"/>
      <w:marLeft w:val="0"/>
      <w:marRight w:val="0"/>
      <w:marTop w:val="0"/>
      <w:marBottom w:val="0"/>
      <w:divBdr>
        <w:top w:val="none" w:sz="0" w:space="0" w:color="auto"/>
        <w:left w:val="none" w:sz="0" w:space="0" w:color="auto"/>
        <w:bottom w:val="none" w:sz="0" w:space="0" w:color="auto"/>
        <w:right w:val="none" w:sz="0" w:space="0" w:color="auto"/>
      </w:divBdr>
    </w:div>
    <w:div w:id="70003154">
      <w:bodyDiv w:val="1"/>
      <w:marLeft w:val="0"/>
      <w:marRight w:val="0"/>
      <w:marTop w:val="0"/>
      <w:marBottom w:val="0"/>
      <w:divBdr>
        <w:top w:val="none" w:sz="0" w:space="0" w:color="auto"/>
        <w:left w:val="none" w:sz="0" w:space="0" w:color="auto"/>
        <w:bottom w:val="none" w:sz="0" w:space="0" w:color="auto"/>
        <w:right w:val="none" w:sz="0" w:space="0" w:color="auto"/>
      </w:divBdr>
    </w:div>
    <w:div w:id="166406213">
      <w:bodyDiv w:val="1"/>
      <w:marLeft w:val="0"/>
      <w:marRight w:val="0"/>
      <w:marTop w:val="0"/>
      <w:marBottom w:val="0"/>
      <w:divBdr>
        <w:top w:val="none" w:sz="0" w:space="0" w:color="auto"/>
        <w:left w:val="none" w:sz="0" w:space="0" w:color="auto"/>
        <w:bottom w:val="none" w:sz="0" w:space="0" w:color="auto"/>
        <w:right w:val="none" w:sz="0" w:space="0" w:color="auto"/>
      </w:divBdr>
    </w:div>
    <w:div w:id="1467315214">
      <w:bodyDiv w:val="1"/>
      <w:marLeft w:val="0"/>
      <w:marRight w:val="0"/>
      <w:marTop w:val="0"/>
      <w:marBottom w:val="0"/>
      <w:divBdr>
        <w:top w:val="none" w:sz="0" w:space="0" w:color="auto"/>
        <w:left w:val="none" w:sz="0" w:space="0" w:color="auto"/>
        <w:bottom w:val="none" w:sz="0" w:space="0" w:color="auto"/>
        <w:right w:val="none" w:sz="0" w:space="0" w:color="auto"/>
      </w:divBdr>
      <w:divsChild>
        <w:div w:id="638804789">
          <w:marLeft w:val="965"/>
          <w:marRight w:val="0"/>
          <w:marTop w:val="213"/>
          <w:marBottom w:val="0"/>
          <w:divBdr>
            <w:top w:val="none" w:sz="0" w:space="0" w:color="auto"/>
            <w:left w:val="none" w:sz="0" w:space="0" w:color="auto"/>
            <w:bottom w:val="none" w:sz="0" w:space="0" w:color="auto"/>
            <w:right w:val="none" w:sz="0" w:space="0" w:color="auto"/>
          </w:divBdr>
        </w:div>
        <w:div w:id="1974405023">
          <w:marLeft w:val="965"/>
          <w:marRight w:val="0"/>
          <w:marTop w:val="213"/>
          <w:marBottom w:val="0"/>
          <w:divBdr>
            <w:top w:val="none" w:sz="0" w:space="0" w:color="auto"/>
            <w:left w:val="none" w:sz="0" w:space="0" w:color="auto"/>
            <w:bottom w:val="none" w:sz="0" w:space="0" w:color="auto"/>
            <w:right w:val="none" w:sz="0" w:space="0" w:color="auto"/>
          </w:divBdr>
        </w:div>
      </w:divsChild>
    </w:div>
    <w:div w:id="1479881848">
      <w:bodyDiv w:val="1"/>
      <w:marLeft w:val="0"/>
      <w:marRight w:val="0"/>
      <w:marTop w:val="0"/>
      <w:marBottom w:val="0"/>
      <w:divBdr>
        <w:top w:val="none" w:sz="0" w:space="0" w:color="auto"/>
        <w:left w:val="none" w:sz="0" w:space="0" w:color="auto"/>
        <w:bottom w:val="none" w:sz="0" w:space="0" w:color="auto"/>
        <w:right w:val="none" w:sz="0" w:space="0" w:color="auto"/>
      </w:divBdr>
    </w:div>
    <w:div w:id="1784880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1460</Words>
  <Characters>9584</Characters>
  <Application>Microsoft Office Word</Application>
  <DocSecurity>0</DocSecurity>
  <Lines>195</Lines>
  <Paragraphs>97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2019-11-16T08:31:00Z</dcterms:created>
  <dcterms:modified xsi:type="dcterms:W3CDTF">2019-11-18T12:58:00Z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